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5E34" w14:textId="604A008C" w:rsidR="007E76A4" w:rsidRPr="0033606A" w:rsidRDefault="009653CC" w:rsidP="009653CC">
      <w:pPr>
        <w:jc w:val="center"/>
        <w:rPr>
          <w:rFonts w:ascii="Segoe UI" w:hAnsi="Segoe UI" w:cs="Segoe UI"/>
          <w:b/>
          <w:bCs/>
          <w:color w:val="212121"/>
          <w:sz w:val="28"/>
          <w:szCs w:val="28"/>
          <w:shd w:val="clear" w:color="auto" w:fill="FFFFFF"/>
        </w:rPr>
      </w:pPr>
      <w:r w:rsidRPr="0033606A">
        <w:rPr>
          <w:rFonts w:ascii="Segoe UI" w:hAnsi="Segoe UI" w:cs="Segoe UI"/>
          <w:b/>
          <w:bCs/>
          <w:color w:val="212121"/>
          <w:sz w:val="28"/>
          <w:szCs w:val="28"/>
          <w:shd w:val="clear" w:color="auto" w:fill="FFFFFF"/>
        </w:rPr>
        <w:t xml:space="preserve">STANDARD BRIEFING NOTE </w:t>
      </w:r>
      <w:r w:rsidR="00173F48">
        <w:rPr>
          <w:rFonts w:ascii="Segoe UI" w:hAnsi="Segoe UI" w:cs="Segoe UI"/>
          <w:b/>
          <w:bCs/>
          <w:color w:val="212121"/>
          <w:sz w:val="28"/>
          <w:szCs w:val="28"/>
          <w:shd w:val="clear" w:color="auto" w:fill="FFFFFF"/>
        </w:rPr>
        <w:t>6</w:t>
      </w:r>
    </w:p>
    <w:p w14:paraId="4772B645" w14:textId="77777777" w:rsidR="009653CC" w:rsidRPr="0033606A" w:rsidRDefault="009653CC" w:rsidP="009653CC">
      <w:pPr>
        <w:jc w:val="center"/>
        <w:rPr>
          <w:rFonts w:ascii="Segoe UI" w:hAnsi="Segoe UI" w:cs="Segoe UI"/>
          <w:b/>
          <w:bCs/>
          <w:color w:val="212121"/>
          <w:sz w:val="28"/>
          <w:szCs w:val="28"/>
          <w:shd w:val="clear" w:color="auto" w:fill="FFFFFF"/>
        </w:rPr>
      </w:pPr>
    </w:p>
    <w:p w14:paraId="1DD1B98B" w14:textId="1A9548E6" w:rsidR="00A1217C" w:rsidRDefault="00173F48" w:rsidP="00A1217C">
      <w:pPr>
        <w:jc w:val="center"/>
        <w:rPr>
          <w:rFonts w:ascii="Segoe UI" w:hAnsi="Segoe UI" w:cs="Segoe UI"/>
          <w:b/>
          <w:bCs/>
          <w:color w:val="212121"/>
          <w:sz w:val="28"/>
          <w:szCs w:val="28"/>
          <w:shd w:val="clear" w:color="auto" w:fill="FFFFFF"/>
        </w:rPr>
      </w:pPr>
      <w:r>
        <w:rPr>
          <w:rFonts w:ascii="Segoe UI" w:hAnsi="Segoe UI" w:cs="Segoe UI"/>
          <w:b/>
          <w:bCs/>
          <w:color w:val="212121"/>
          <w:sz w:val="28"/>
          <w:szCs w:val="28"/>
          <w:shd w:val="clear" w:color="auto" w:fill="FFFFFF"/>
        </w:rPr>
        <w:t>RIGHTS IMPACTS OF COVID-19 LAWS IN SOUTH AUSTRALIA</w:t>
      </w:r>
    </w:p>
    <w:p w14:paraId="306847E7" w14:textId="2B9B3E30" w:rsidR="00626481" w:rsidRDefault="00626481" w:rsidP="00A1217C">
      <w:pPr>
        <w:jc w:val="center"/>
        <w:rPr>
          <w:rFonts w:ascii="Segoe UI" w:hAnsi="Segoe UI" w:cs="Segoe UI"/>
          <w:b/>
          <w:bCs/>
          <w:color w:val="212121"/>
          <w:sz w:val="28"/>
          <w:szCs w:val="28"/>
          <w:shd w:val="clear" w:color="auto" w:fill="FFFFFF"/>
        </w:rPr>
      </w:pPr>
    </w:p>
    <w:p w14:paraId="69FC873E" w14:textId="77777777" w:rsidR="00173F48" w:rsidRDefault="00626481" w:rsidP="005E340E">
      <w:pPr>
        <w:pBdr>
          <w:top w:val="single" w:sz="4" w:space="1" w:color="auto"/>
          <w:left w:val="single" w:sz="4" w:space="4" w:color="auto"/>
          <w:bottom w:val="single" w:sz="4" w:space="1" w:color="auto"/>
          <w:right w:val="single" w:sz="4" w:space="4" w:color="auto"/>
        </w:pBdr>
        <w:ind w:left="567" w:right="567"/>
        <w:jc w:val="both"/>
        <w:rPr>
          <w:rFonts w:ascii="Segoe UI" w:hAnsi="Segoe UI" w:cs="Segoe UI"/>
          <w:color w:val="212121"/>
          <w:sz w:val="20"/>
          <w:szCs w:val="20"/>
          <w:shd w:val="clear" w:color="auto" w:fill="FFFFFF"/>
        </w:rPr>
      </w:pPr>
      <w:r w:rsidRPr="004B35E7">
        <w:rPr>
          <w:rFonts w:ascii="Segoe UI" w:hAnsi="Segoe UI" w:cs="Segoe UI"/>
          <w:color w:val="212121"/>
          <w:sz w:val="20"/>
          <w:szCs w:val="20"/>
          <w:shd w:val="clear" w:color="auto" w:fill="FFFFFF"/>
        </w:rPr>
        <w:t xml:space="preserve">This Briefing Note contains </w:t>
      </w:r>
      <w:r w:rsidR="00BA603E" w:rsidRPr="004B35E7">
        <w:rPr>
          <w:rFonts w:ascii="Segoe UI" w:hAnsi="Segoe UI" w:cs="Segoe UI"/>
          <w:color w:val="212121"/>
          <w:sz w:val="20"/>
          <w:szCs w:val="20"/>
          <w:shd w:val="clear" w:color="auto" w:fill="FFFFFF"/>
        </w:rPr>
        <w:t xml:space="preserve">key points, key terms, background information and examples of practical application as well as links to further information and local contacts. </w:t>
      </w:r>
      <w:r w:rsidR="004B35E7" w:rsidRPr="004B35E7">
        <w:rPr>
          <w:rFonts w:ascii="Segoe UI" w:hAnsi="Segoe UI" w:cs="Segoe UI"/>
          <w:color w:val="212121"/>
          <w:sz w:val="20"/>
          <w:szCs w:val="20"/>
          <w:shd w:val="clear" w:color="auto" w:fill="FFFFFF"/>
        </w:rPr>
        <w:t xml:space="preserve"> It does not contain legal advice and should be used as a starting point for further research t rather than an authoritative source.</w:t>
      </w:r>
      <w:r w:rsidR="00BA603E" w:rsidRPr="004B35E7">
        <w:rPr>
          <w:rFonts w:ascii="Segoe UI" w:hAnsi="Segoe UI" w:cs="Segoe UI"/>
          <w:color w:val="212121"/>
          <w:sz w:val="20"/>
          <w:szCs w:val="20"/>
          <w:shd w:val="clear" w:color="auto" w:fill="FFFFFF"/>
        </w:rPr>
        <w:t xml:space="preserve"> </w:t>
      </w:r>
      <w:r w:rsidR="004B35E7" w:rsidRPr="004B35E7">
        <w:rPr>
          <w:rFonts w:ascii="Segoe UI" w:hAnsi="Segoe UI" w:cs="Segoe UI"/>
          <w:color w:val="212121"/>
          <w:sz w:val="20"/>
          <w:szCs w:val="20"/>
          <w:shd w:val="clear" w:color="auto" w:fill="FFFFFF"/>
        </w:rPr>
        <w:t>Feedback on its contents is welcome.</w:t>
      </w:r>
      <w:r w:rsidR="00173F48">
        <w:rPr>
          <w:rFonts w:ascii="Segoe UI" w:hAnsi="Segoe UI" w:cs="Segoe UI"/>
          <w:color w:val="212121"/>
          <w:sz w:val="20"/>
          <w:szCs w:val="20"/>
          <w:shd w:val="clear" w:color="auto" w:fill="FFFFFF"/>
        </w:rPr>
        <w:t xml:space="preserve"> </w:t>
      </w:r>
    </w:p>
    <w:p w14:paraId="7DAD8609" w14:textId="1A45FF6D" w:rsidR="00626481" w:rsidRPr="00173F48" w:rsidRDefault="00173F48" w:rsidP="005E340E">
      <w:pPr>
        <w:pBdr>
          <w:top w:val="single" w:sz="4" w:space="1" w:color="auto"/>
          <w:left w:val="single" w:sz="4" w:space="4" w:color="auto"/>
          <w:bottom w:val="single" w:sz="4" w:space="1" w:color="auto"/>
          <w:right w:val="single" w:sz="4" w:space="4" w:color="auto"/>
        </w:pBdr>
        <w:ind w:left="567" w:right="567"/>
        <w:jc w:val="both"/>
        <w:rPr>
          <w:rFonts w:ascii="Segoe UI" w:hAnsi="Segoe UI" w:cs="Segoe UI"/>
          <w:b/>
          <w:bCs/>
          <w:color w:val="212121"/>
          <w:sz w:val="20"/>
          <w:szCs w:val="20"/>
          <w:shd w:val="clear" w:color="auto" w:fill="FFFFFF"/>
        </w:rPr>
      </w:pPr>
      <w:r>
        <w:rPr>
          <w:rFonts w:ascii="Segoe UI" w:hAnsi="Segoe UI" w:cs="Segoe UI"/>
          <w:i/>
          <w:iCs/>
          <w:color w:val="212121"/>
          <w:sz w:val="20"/>
          <w:szCs w:val="20"/>
          <w:shd w:val="clear" w:color="auto" w:fill="FFFFFF"/>
        </w:rPr>
        <w:t xml:space="preserve">This was prepared in a hurry to provide a rough overview - </w:t>
      </w:r>
      <w:r w:rsidRPr="00173F48">
        <w:rPr>
          <w:rFonts w:ascii="Segoe UI" w:hAnsi="Segoe UI" w:cs="Segoe UI"/>
          <w:b/>
          <w:bCs/>
          <w:i/>
          <w:iCs/>
          <w:color w:val="212121"/>
          <w:sz w:val="20"/>
          <w:szCs w:val="20"/>
          <w:shd w:val="clear" w:color="auto" w:fill="FFFFFF"/>
        </w:rPr>
        <w:t>C</w:t>
      </w:r>
      <w:r w:rsidRPr="00173F48">
        <w:rPr>
          <w:rFonts w:ascii="Segoe UI" w:hAnsi="Segoe UI" w:cs="Segoe UI"/>
          <w:b/>
          <w:bCs/>
          <w:i/>
          <w:iCs/>
          <w:color w:val="212121"/>
          <w:sz w:val="20"/>
          <w:szCs w:val="20"/>
          <w:shd w:val="clear" w:color="auto" w:fill="FFFFFF"/>
        </w:rPr>
        <w:t>urrent as of 24 April 2020</w:t>
      </w:r>
    </w:p>
    <w:p w14:paraId="69C2F3A0" w14:textId="770942AC" w:rsidR="007E76A4" w:rsidRDefault="007E76A4">
      <w:pPr>
        <w:rPr>
          <w:rFonts w:ascii="Segoe UI" w:hAnsi="Segoe UI" w:cs="Segoe UI"/>
          <w:color w:val="212121"/>
          <w:sz w:val="23"/>
          <w:szCs w:val="23"/>
          <w:shd w:val="clear" w:color="auto" w:fill="FFFFFF"/>
        </w:rPr>
      </w:pPr>
    </w:p>
    <w:p w14:paraId="4B47D19F" w14:textId="56EFAA9D" w:rsidR="0033606A" w:rsidRPr="00736257" w:rsidRDefault="0033606A"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sidRPr="00736257">
        <w:rPr>
          <w:rFonts w:ascii="Segoe UI" w:hAnsi="Segoe UI" w:cs="Segoe UI"/>
          <w:b/>
          <w:bCs/>
          <w:color w:val="212121"/>
          <w:sz w:val="23"/>
          <w:szCs w:val="23"/>
          <w:shd w:val="clear" w:color="auto" w:fill="FFFFFF"/>
        </w:rPr>
        <w:t xml:space="preserve">Key Points </w:t>
      </w:r>
    </w:p>
    <w:p w14:paraId="7725AB03" w14:textId="780615DC" w:rsidR="0033606A" w:rsidRDefault="0033606A">
      <w:pPr>
        <w:rPr>
          <w:rFonts w:ascii="Segoe UI" w:hAnsi="Segoe UI" w:cs="Segoe UI"/>
          <w:color w:val="212121"/>
          <w:sz w:val="23"/>
          <w:szCs w:val="23"/>
          <w:shd w:val="clear" w:color="auto" w:fill="FFFFFF"/>
        </w:rPr>
      </w:pPr>
    </w:p>
    <w:p w14:paraId="763C1A6B" w14:textId="77777777" w:rsidR="00173F48" w:rsidRPr="00C111EC" w:rsidRDefault="00173F48" w:rsidP="00173F48">
      <w:pPr>
        <w:pStyle w:val="ListParagraph"/>
        <w:numPr>
          <w:ilvl w:val="0"/>
          <w:numId w:val="10"/>
        </w:numPr>
        <w:spacing w:after="120"/>
        <w:contextualSpacing w:val="0"/>
        <w:jc w:val="both"/>
      </w:pPr>
      <w:r w:rsidRPr="00C111EC">
        <w:t xml:space="preserve">The </w:t>
      </w:r>
      <w:r w:rsidRPr="00173F48">
        <w:rPr>
          <w:i/>
          <w:iCs/>
        </w:rPr>
        <w:t>COVID-19 Emergency Response Act 2020</w:t>
      </w:r>
      <w:r w:rsidRPr="00C111EC">
        <w:t xml:space="preserve"> (SA) and related Regulations, Guidelines and Directions contain a number of exceptional features that have the potential to impact </w:t>
      </w:r>
      <w:r w:rsidRPr="00173F48">
        <w:rPr>
          <w:b/>
          <w:bCs/>
        </w:rPr>
        <w:t>positively and negatively</w:t>
      </w:r>
      <w:r w:rsidRPr="00C111EC">
        <w:t xml:space="preserve"> on individual rights.  For example, the </w:t>
      </w:r>
      <w:r w:rsidRPr="00173F48">
        <w:rPr>
          <w:i/>
          <w:iCs/>
        </w:rPr>
        <w:t>COVID-19 Emergency Response Act 2020</w:t>
      </w:r>
      <w:r w:rsidRPr="00C111EC">
        <w:t xml:space="preserve"> (SA):</w:t>
      </w:r>
    </w:p>
    <w:p w14:paraId="7ACE77A0" w14:textId="77777777" w:rsidR="00173F48" w:rsidRPr="00173F48" w:rsidRDefault="00173F48" w:rsidP="00173F48">
      <w:pPr>
        <w:pStyle w:val="ListParagraph"/>
        <w:numPr>
          <w:ilvl w:val="1"/>
          <w:numId w:val="10"/>
        </w:numPr>
        <w:spacing w:after="120"/>
        <w:contextualSpacing w:val="0"/>
        <w:jc w:val="both"/>
      </w:pPr>
      <w:r w:rsidRPr="00C111EC">
        <w:t xml:space="preserve">Aims to protect the South Australian community from the health risks posed by COVID-19 pandemic (impact on </w:t>
      </w:r>
      <w:r w:rsidRPr="00173F48">
        <w:rPr>
          <w:i/>
          <w:iCs/>
        </w:rPr>
        <w:t>International Covenant on Economic Social and Cultural Right</w:t>
      </w:r>
      <w:r w:rsidRPr="00173F48">
        <w:t xml:space="preserve">s (ICESCR) Article 12- right to highest attainable standard of physical and mental health; </w:t>
      </w:r>
      <w:r w:rsidRPr="00173F48">
        <w:rPr>
          <w:i/>
          <w:iCs/>
        </w:rPr>
        <w:t>International Covenant on Civil and Political Rights</w:t>
      </w:r>
      <w:r w:rsidRPr="00C111EC">
        <w:t xml:space="preserve"> (ICCPR) Article 6 – right to life</w:t>
      </w:r>
      <w:r w:rsidRPr="00173F48">
        <w:t>)</w:t>
      </w:r>
    </w:p>
    <w:p w14:paraId="5DD01F99" w14:textId="77777777" w:rsidR="00173F48" w:rsidRPr="00C111EC" w:rsidRDefault="00173F48" w:rsidP="00173F48">
      <w:pPr>
        <w:pStyle w:val="ListParagraph"/>
        <w:numPr>
          <w:ilvl w:val="1"/>
          <w:numId w:val="10"/>
        </w:numPr>
        <w:spacing w:after="120"/>
        <w:contextualSpacing w:val="0"/>
        <w:jc w:val="both"/>
      </w:pPr>
      <w:r w:rsidRPr="00C111EC">
        <w:t xml:space="preserve">Aims to protect small businesses in South Australia from the economic risks posed by COVID-19 pandemic (impact on </w:t>
      </w:r>
      <w:r w:rsidRPr="00173F48">
        <w:t>International Covenant on Economic Social and Cultural Rights (ICESCR) Article 11 – right to adequate standard of living)</w:t>
      </w:r>
    </w:p>
    <w:p w14:paraId="14590EC5" w14:textId="77777777" w:rsidR="00173F48" w:rsidRPr="00173F48" w:rsidRDefault="00173F48" w:rsidP="00173F48">
      <w:pPr>
        <w:pStyle w:val="ListParagraph"/>
        <w:numPr>
          <w:ilvl w:val="1"/>
          <w:numId w:val="10"/>
        </w:numPr>
        <w:spacing w:after="120"/>
        <w:contextualSpacing w:val="0"/>
        <w:jc w:val="both"/>
      </w:pPr>
      <w:r w:rsidRPr="00C111EC">
        <w:t xml:space="preserve">Aims to protect renters and those in residential parks and supported residential facilities from housing risks posed by COVID-19 pandemic (impact on </w:t>
      </w:r>
      <w:r w:rsidRPr="00173F48">
        <w:t xml:space="preserve">International Covenant on Economic Social and Cultural Rights (ICESCR) Article 11 </w:t>
      </w:r>
      <w:proofErr w:type="gramStart"/>
      <w:r w:rsidRPr="00173F48">
        <w:t>-  right</w:t>
      </w:r>
      <w:proofErr w:type="gramEnd"/>
      <w:r w:rsidRPr="00173F48">
        <w:t xml:space="preserve"> to adequate housing and living conditions)</w:t>
      </w:r>
    </w:p>
    <w:p w14:paraId="37985B68" w14:textId="77777777" w:rsidR="00173F48" w:rsidRPr="00173F48" w:rsidRDefault="00173F48" w:rsidP="00173F48">
      <w:pPr>
        <w:pStyle w:val="ListParagraph"/>
        <w:numPr>
          <w:ilvl w:val="1"/>
          <w:numId w:val="10"/>
        </w:numPr>
        <w:spacing w:after="120"/>
        <w:contextualSpacing w:val="0"/>
        <w:jc w:val="both"/>
      </w:pPr>
      <w:r w:rsidRPr="00C111EC">
        <w:t xml:space="preserve">Aims to protect mentally incapacitated person from the risks posed by COVID-19 pandemic (impact </w:t>
      </w:r>
      <w:r w:rsidRPr="00173F48">
        <w:t>(ICESCR) Article 12)</w:t>
      </w:r>
    </w:p>
    <w:p w14:paraId="6AF77554" w14:textId="0A0B95AD" w:rsidR="00173F48" w:rsidRPr="00C111EC" w:rsidRDefault="00173F48" w:rsidP="00173F48">
      <w:pPr>
        <w:pStyle w:val="ListParagraph"/>
        <w:numPr>
          <w:ilvl w:val="1"/>
          <w:numId w:val="10"/>
        </w:numPr>
        <w:spacing w:after="120"/>
        <w:contextualSpacing w:val="0"/>
        <w:jc w:val="both"/>
      </w:pPr>
      <w:r>
        <w:t>M</w:t>
      </w:r>
      <w:r w:rsidRPr="00C111EC">
        <w:t xml:space="preserve">akes changes to the rights of landlords and tenants that apply retrospectively (impact on Article 4 regarding retrospective application of laws) </w:t>
      </w:r>
    </w:p>
    <w:p w14:paraId="325CFB79" w14:textId="4DF7AA77" w:rsidR="00173F48" w:rsidRPr="00C111EC" w:rsidRDefault="00173F48" w:rsidP="00173F48">
      <w:pPr>
        <w:pStyle w:val="ListParagraph"/>
        <w:numPr>
          <w:ilvl w:val="1"/>
          <w:numId w:val="10"/>
        </w:numPr>
        <w:spacing w:after="120"/>
        <w:contextualSpacing w:val="0"/>
        <w:jc w:val="both"/>
      </w:pPr>
      <w:r>
        <w:t>A</w:t>
      </w:r>
      <w:r w:rsidRPr="00C111EC">
        <w:t>uthorises a range of public officers to detain people without charge (impact on ICCPR Article 9 – freedom from arbitrary detention)</w:t>
      </w:r>
    </w:p>
    <w:p w14:paraId="000AD34F" w14:textId="0B7728D9" w:rsidR="00173F48" w:rsidRPr="00C111EC" w:rsidRDefault="00173F48" w:rsidP="00173F48">
      <w:pPr>
        <w:pStyle w:val="ListParagraph"/>
        <w:numPr>
          <w:ilvl w:val="1"/>
          <w:numId w:val="10"/>
        </w:numPr>
        <w:spacing w:after="120"/>
        <w:contextualSpacing w:val="0"/>
        <w:jc w:val="both"/>
      </w:pPr>
      <w:r w:rsidRPr="00C111EC">
        <w:t>Invests a wide range of public officers (including police and health officials) with wide discretions to direct, restrict or limit the conduct of individuals in response to the COVID-19 pandemic</w:t>
      </w:r>
      <w:r>
        <w:t xml:space="preserve">, including in ways that would otherwise breach State laws and with immunity from civil and criminal legal action, </w:t>
      </w:r>
      <w:r>
        <w:rPr>
          <w:i/>
          <w:iCs/>
        </w:rPr>
        <w:t>without</w:t>
      </w:r>
      <w:r w:rsidRPr="00C111EC">
        <w:t xml:space="preserve"> </w:t>
      </w:r>
      <w:r>
        <w:t xml:space="preserve">the need for approval by Parliament </w:t>
      </w:r>
      <w:r w:rsidRPr="00C111EC">
        <w:t>(impact on ICCPR Article 9 – freedom from arbitrary detention, Article 12- liberty of movement, Article 17 – right to privacy, Article 21 – right to peaceful assembly, Article 22 – freedom of association</w:t>
      </w:r>
      <w:r>
        <w:t>).</w:t>
      </w:r>
    </w:p>
    <w:p w14:paraId="3A592988" w14:textId="21526796" w:rsidR="00173F48" w:rsidRDefault="00173F48" w:rsidP="00173F48">
      <w:pPr>
        <w:pStyle w:val="ListParagraph"/>
        <w:numPr>
          <w:ilvl w:val="0"/>
          <w:numId w:val="10"/>
        </w:numPr>
        <w:spacing w:after="120"/>
        <w:contextualSpacing w:val="0"/>
        <w:jc w:val="both"/>
      </w:pPr>
      <w:r>
        <w:t>I</w:t>
      </w:r>
      <w:r>
        <w:t xml:space="preserve">t is well recognised under international human rights law that in times of emergency, it may be permissible for States to take action that would breach or interfere with certain </w:t>
      </w:r>
      <w:r>
        <w:lastRenderedPageBreak/>
        <w:t>human rights to preserve the life or wellbeing of its citizens.  For example, ICCPR Article 4 provides:</w:t>
      </w:r>
    </w:p>
    <w:p w14:paraId="20AF3EFF" w14:textId="0C0045B8" w:rsidR="00173F48" w:rsidRPr="00173F48" w:rsidRDefault="00173F48" w:rsidP="00173F48">
      <w:pPr>
        <w:pStyle w:val="ListParagraph"/>
        <w:numPr>
          <w:ilvl w:val="1"/>
          <w:numId w:val="10"/>
        </w:numPr>
        <w:spacing w:after="120"/>
        <w:contextualSpacing w:val="0"/>
        <w:jc w:val="both"/>
        <w:rPr>
          <w:i/>
          <w:iCs/>
        </w:rPr>
      </w:pPr>
      <w:r w:rsidRPr="00173F48">
        <w:rPr>
          <w:i/>
          <w:iCs/>
        </w:rPr>
        <w:t xml:space="preserve">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colour, sex, language, religion or social origin.</w:t>
      </w:r>
    </w:p>
    <w:p w14:paraId="5C0807E6" w14:textId="007C1D4E" w:rsidR="00173F48" w:rsidRPr="00C111EC" w:rsidRDefault="00173F48" w:rsidP="00173F48">
      <w:pPr>
        <w:pStyle w:val="ListParagraph"/>
        <w:numPr>
          <w:ilvl w:val="0"/>
          <w:numId w:val="10"/>
        </w:numPr>
        <w:spacing w:after="120"/>
        <w:contextualSpacing w:val="0"/>
        <w:jc w:val="both"/>
      </w:pPr>
      <w:r>
        <w:t xml:space="preserve">The key question for those interesting in monitoring the ongoing rights impacts of these laws is whether the interference with any rights remains necessary because of the presence of an ongoing public health emergency, and if so, whether any restrictions on rights is limited to the extent necessary to respond to that emergency situation.  </w:t>
      </w:r>
    </w:p>
    <w:p w14:paraId="4840BA69" w14:textId="2F1CECFA" w:rsidR="00173F48" w:rsidRPr="00173F48" w:rsidRDefault="00173F48" w:rsidP="00173F48">
      <w:pPr>
        <w:pStyle w:val="ListParagraph"/>
        <w:numPr>
          <w:ilvl w:val="0"/>
          <w:numId w:val="10"/>
        </w:numPr>
        <w:spacing w:after="120"/>
        <w:contextualSpacing w:val="0"/>
        <w:jc w:val="both"/>
      </w:pPr>
      <w:r>
        <w:t>Some key features of the South Australian legislative response to COVID-19 are set out below (current as of 24 April 2020).</w:t>
      </w:r>
    </w:p>
    <w:p w14:paraId="10882977" w14:textId="1B8502F7" w:rsidR="008B3DAD" w:rsidRPr="00C62906" w:rsidRDefault="008B3DAD" w:rsidP="00C62906">
      <w:pPr>
        <w:spacing w:after="160" w:line="259" w:lineRule="auto"/>
      </w:pPr>
    </w:p>
    <w:p w14:paraId="08BE8B42" w14:textId="50860E2C" w:rsidR="0021246E" w:rsidRPr="00736257" w:rsidRDefault="00173F48" w:rsidP="0021246E">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 xml:space="preserve">Table of Key Features of </w:t>
      </w:r>
      <w:r w:rsidRPr="00173F48">
        <w:rPr>
          <w:rFonts w:ascii="Segoe UI" w:hAnsi="Segoe UI" w:cs="Segoe UI"/>
          <w:b/>
          <w:bCs/>
          <w:color w:val="212121"/>
          <w:sz w:val="23"/>
          <w:szCs w:val="23"/>
          <w:shd w:val="clear" w:color="auto" w:fill="FFFFFF"/>
        </w:rPr>
        <w:t>COVID-19 Emergency Response Act 2020 (SA)</w:t>
      </w:r>
    </w:p>
    <w:p w14:paraId="1C81A0EB" w14:textId="162B8BE4" w:rsidR="00D82AC1" w:rsidRDefault="00D82AC1">
      <w:pPr>
        <w:rPr>
          <w:rFonts w:ascii="Segoe UI" w:hAnsi="Segoe UI" w:cs="Segoe UI"/>
          <w:color w:val="212121"/>
          <w:sz w:val="23"/>
          <w:szCs w:val="23"/>
          <w:shd w:val="clear" w:color="auto" w:fill="FFFFFF"/>
        </w:rPr>
      </w:pPr>
    </w:p>
    <w:p w14:paraId="6314D246" w14:textId="77777777" w:rsidR="00173F48" w:rsidRPr="00C111EC" w:rsidRDefault="00173F48" w:rsidP="00173F48"/>
    <w:tbl>
      <w:tblPr>
        <w:tblStyle w:val="TableGrid"/>
        <w:tblW w:w="0" w:type="auto"/>
        <w:tblLook w:val="04A0" w:firstRow="1" w:lastRow="0" w:firstColumn="1" w:lastColumn="0" w:noHBand="0" w:noVBand="1"/>
      </w:tblPr>
      <w:tblGrid>
        <w:gridCol w:w="1696"/>
        <w:gridCol w:w="7320"/>
      </w:tblGrid>
      <w:tr w:rsidR="00173F48" w:rsidRPr="00C111EC" w14:paraId="6F937B3B" w14:textId="77777777" w:rsidTr="00F92504">
        <w:tc>
          <w:tcPr>
            <w:tcW w:w="1696" w:type="dxa"/>
          </w:tcPr>
          <w:p w14:paraId="30D3B713" w14:textId="77777777" w:rsidR="00173F48" w:rsidRPr="00C111EC" w:rsidRDefault="00173F48" w:rsidP="00F92504">
            <w:pPr>
              <w:rPr>
                <w:b/>
                <w:bCs/>
              </w:rPr>
            </w:pPr>
            <w:r w:rsidRPr="00C111EC">
              <w:rPr>
                <w:b/>
                <w:bCs/>
              </w:rPr>
              <w:t xml:space="preserve">Section </w:t>
            </w:r>
          </w:p>
        </w:tc>
        <w:tc>
          <w:tcPr>
            <w:tcW w:w="7320" w:type="dxa"/>
          </w:tcPr>
          <w:p w14:paraId="4523201B" w14:textId="77777777" w:rsidR="00173F48" w:rsidRPr="00C111EC" w:rsidRDefault="00173F48" w:rsidP="00F92504">
            <w:pPr>
              <w:rPr>
                <w:b/>
                <w:bCs/>
              </w:rPr>
            </w:pPr>
            <w:r w:rsidRPr="00C111EC">
              <w:rPr>
                <w:b/>
                <w:bCs/>
              </w:rPr>
              <w:t xml:space="preserve">Description </w:t>
            </w:r>
          </w:p>
        </w:tc>
      </w:tr>
      <w:tr w:rsidR="00173F48" w:rsidRPr="00C111EC" w14:paraId="69DDDB87" w14:textId="77777777" w:rsidTr="00F92504">
        <w:tc>
          <w:tcPr>
            <w:tcW w:w="1696" w:type="dxa"/>
          </w:tcPr>
          <w:p w14:paraId="07EB74F5" w14:textId="77777777" w:rsidR="00173F48" w:rsidRPr="00C111EC" w:rsidRDefault="00173F48" w:rsidP="00F92504">
            <w:r w:rsidRPr="00C111EC">
              <w:t>2</w:t>
            </w:r>
          </w:p>
        </w:tc>
        <w:tc>
          <w:tcPr>
            <w:tcW w:w="7320" w:type="dxa"/>
          </w:tcPr>
          <w:p w14:paraId="6EF28B7B" w14:textId="77777777" w:rsidR="00173F48" w:rsidRPr="00C111EC" w:rsidRDefault="00173F48" w:rsidP="00F92504">
            <w:r w:rsidRPr="00C111EC">
              <w:rPr>
                <w:b/>
                <w:bCs/>
              </w:rPr>
              <w:t>Retrospective application</w:t>
            </w:r>
            <w:r w:rsidRPr="00C111EC">
              <w:t xml:space="preserve"> of sections 7-9 (taken to have commenced on 30 March 2020)</w:t>
            </w:r>
          </w:p>
        </w:tc>
      </w:tr>
      <w:tr w:rsidR="00173F48" w:rsidRPr="00C111EC" w14:paraId="33F94B4A" w14:textId="77777777" w:rsidTr="00F92504">
        <w:tc>
          <w:tcPr>
            <w:tcW w:w="1696" w:type="dxa"/>
          </w:tcPr>
          <w:p w14:paraId="7F3BAEF8" w14:textId="77777777" w:rsidR="00173F48" w:rsidRPr="00C111EC" w:rsidRDefault="00173F48" w:rsidP="00F92504">
            <w:r w:rsidRPr="00C111EC">
              <w:t>6</w:t>
            </w:r>
          </w:p>
        </w:tc>
        <w:tc>
          <w:tcPr>
            <w:tcW w:w="7320" w:type="dxa"/>
          </w:tcPr>
          <w:p w14:paraId="2FB453A2" w14:textId="77777777" w:rsidR="00173F48" w:rsidRPr="00C111EC" w:rsidRDefault="00173F48" w:rsidP="00F92504">
            <w:r w:rsidRPr="00C111EC">
              <w:rPr>
                <w:b/>
                <w:bCs/>
              </w:rPr>
              <w:t>Sunsetting clause</w:t>
            </w:r>
            <w:r w:rsidRPr="00C111EC">
              <w:t xml:space="preserve"> – Part 2 Schedule 1 and Schedule 2 expire on the date  fixed by the Minister which must be either  (a) the day on which all relevant declarations relating to the outbreak of the human disease named COVID-19 within South Australia have ceased (provided that the Minister is satisfied that there is no present intention to make a further such declaration); or  (b) the day falling 6 months after the commencement of this section, whichever is the earlier</w:t>
            </w:r>
          </w:p>
        </w:tc>
      </w:tr>
      <w:tr w:rsidR="00173F48" w:rsidRPr="00C111EC" w14:paraId="15EEF5D6" w14:textId="77777777" w:rsidTr="00F92504">
        <w:tc>
          <w:tcPr>
            <w:tcW w:w="1696" w:type="dxa"/>
          </w:tcPr>
          <w:p w14:paraId="7DCA1CC3" w14:textId="77777777" w:rsidR="00173F48" w:rsidRPr="00C111EC" w:rsidRDefault="00173F48" w:rsidP="00F92504">
            <w:r w:rsidRPr="00C111EC">
              <w:t>7</w:t>
            </w:r>
          </w:p>
        </w:tc>
        <w:tc>
          <w:tcPr>
            <w:tcW w:w="7320" w:type="dxa"/>
          </w:tcPr>
          <w:p w14:paraId="4DBE5E99" w14:textId="77777777" w:rsidR="00173F48" w:rsidRPr="00C111EC" w:rsidRDefault="00173F48" w:rsidP="00F92504">
            <w:pPr>
              <w:rPr>
                <w:b/>
                <w:bCs/>
              </w:rPr>
            </w:pPr>
            <w:r w:rsidRPr="00C111EC">
              <w:rPr>
                <w:b/>
                <w:bCs/>
              </w:rPr>
              <w:t xml:space="preserve">Commercial leases – protections for Lessees </w:t>
            </w:r>
          </w:p>
          <w:p w14:paraId="1B3FF3DE" w14:textId="77777777" w:rsidR="00173F48" w:rsidRPr="00C111EC" w:rsidRDefault="00173F48" w:rsidP="00F92504">
            <w:r w:rsidRPr="00C111EC">
              <w:t xml:space="preserve">If a lessee is suffering </w:t>
            </w:r>
            <w:r w:rsidRPr="00C111EC">
              <w:rPr>
                <w:b/>
                <w:bCs/>
              </w:rPr>
              <w:t>financial hardship</w:t>
            </w:r>
            <w:r w:rsidRPr="00C111EC">
              <w:t xml:space="preserve"> as a result of the COVID-19 pandemic, a lessor cannot take ‘prescribed action’ (</w:t>
            </w:r>
            <w:proofErr w:type="spellStart"/>
            <w:r w:rsidRPr="00C111EC">
              <w:t>eg</w:t>
            </w:r>
            <w:proofErr w:type="spellEnd"/>
            <w:r w:rsidRPr="00C111EC">
              <w:t xml:space="preserve"> termination or eviction) against lessee for failing to pay rent or failing to pay outgoings or for not operating a business on the premises or other acts set out in the Regulations </w:t>
            </w:r>
          </w:p>
          <w:p w14:paraId="7F7B4EC8" w14:textId="77777777" w:rsidR="00173F48" w:rsidRPr="00C111EC" w:rsidRDefault="00173F48" w:rsidP="00F92504">
            <w:r w:rsidRPr="00C111EC">
              <w:t>If a lessee is acting in compliance with a COVID-19 law, their conduct will constitute a breach of a commercial lease.</w:t>
            </w:r>
          </w:p>
          <w:p w14:paraId="388A4545" w14:textId="77777777" w:rsidR="00173F48" w:rsidRPr="00C111EC" w:rsidRDefault="00173F48" w:rsidP="00F92504">
            <w:r w:rsidRPr="00C111EC">
              <w:t>Rent cannot be increased during COVID-19 pandemic if lessee suffering financial hardship</w:t>
            </w:r>
          </w:p>
          <w:p w14:paraId="2B903039" w14:textId="77777777" w:rsidR="00173F48" w:rsidRPr="00C111EC" w:rsidRDefault="00173F48" w:rsidP="00F92504">
            <w:r w:rsidRPr="00C111EC">
              <w:t>Parties can apply to the Small Business Commissioner to determine disputes about COVID-19 financial hardship – appeals to Magistrates Court</w:t>
            </w:r>
          </w:p>
          <w:p w14:paraId="5596D179" w14:textId="77777777" w:rsidR="00173F48" w:rsidRPr="00C111EC" w:rsidRDefault="00173F48" w:rsidP="00F92504">
            <w:hyperlink r:id="rId8" w:tooltip="Link to COVID-19 Emergency Response (Commercial Leases) Regulations 2020" w:history="1">
              <w:r w:rsidRPr="00C111EC">
                <w:t>COVID-19 Emergency Response (Commercial Leases) Regulations 2020</w:t>
              </w:r>
            </w:hyperlink>
            <w:r w:rsidRPr="00C111EC">
              <w:t xml:space="preserve"> provides that financial hardship for commercial leases the lessee is eligible for, or receiving, a </w:t>
            </w:r>
            <w:proofErr w:type="spellStart"/>
            <w:r w:rsidRPr="00C111EC">
              <w:t>JobKeeper</w:t>
            </w:r>
            <w:proofErr w:type="spellEnd"/>
            <w:r w:rsidRPr="00C111EC">
              <w:t xml:space="preserve"> payment in respect of the business of the lessee (whether in their capacity as an employer or on their own behalf).</w:t>
            </w:r>
          </w:p>
        </w:tc>
      </w:tr>
      <w:tr w:rsidR="00173F48" w:rsidRPr="00C111EC" w14:paraId="7707C2C2" w14:textId="77777777" w:rsidTr="00F92504">
        <w:tc>
          <w:tcPr>
            <w:tcW w:w="1696" w:type="dxa"/>
          </w:tcPr>
          <w:p w14:paraId="0B59D548" w14:textId="77777777" w:rsidR="00173F48" w:rsidRPr="00C111EC" w:rsidRDefault="00173F48" w:rsidP="00F92504">
            <w:r w:rsidRPr="00C111EC">
              <w:lastRenderedPageBreak/>
              <w:t>8</w:t>
            </w:r>
          </w:p>
        </w:tc>
        <w:tc>
          <w:tcPr>
            <w:tcW w:w="7320" w:type="dxa"/>
          </w:tcPr>
          <w:p w14:paraId="1057EA06" w14:textId="77777777" w:rsidR="00173F48" w:rsidRPr="00C111EC" w:rsidRDefault="00173F48" w:rsidP="00F92504">
            <w:pPr>
              <w:rPr>
                <w:b/>
                <w:bCs/>
              </w:rPr>
            </w:pPr>
            <w:r w:rsidRPr="00C111EC">
              <w:rPr>
                <w:b/>
                <w:bCs/>
              </w:rPr>
              <w:t xml:space="preserve">Residential leases – protections for Tenants </w:t>
            </w:r>
          </w:p>
          <w:p w14:paraId="17B9AADE" w14:textId="77777777" w:rsidR="00173F48" w:rsidRPr="00C111EC" w:rsidRDefault="00173F48" w:rsidP="00F92504">
            <w:r w:rsidRPr="00C111EC">
              <w:t xml:space="preserve">Modifies </w:t>
            </w:r>
            <w:r w:rsidRPr="00C111EC">
              <w:rPr>
                <w:i/>
                <w:iCs/>
              </w:rPr>
              <w:t>Residential Tenancies Act</w:t>
            </w:r>
            <w:r w:rsidRPr="00C111EC">
              <w:t xml:space="preserve"> (RTA)</w:t>
            </w:r>
            <w:r w:rsidRPr="00C111EC">
              <w:rPr>
                <w:i/>
                <w:iCs/>
              </w:rPr>
              <w:t xml:space="preserve"> </w:t>
            </w:r>
            <w:r w:rsidRPr="00C111EC">
              <w:t xml:space="preserve">to provide that </w:t>
            </w:r>
            <w:r w:rsidRPr="00C111EC">
              <w:rPr>
                <w:u w:val="single"/>
              </w:rPr>
              <w:t>landlords must not</w:t>
            </w:r>
            <w:r w:rsidRPr="00C111EC">
              <w:t>: increase rent; undertake physical inspections (to be conducted by audio-visual means instead); take action against a tenant for following a State COVID-19 law; use s78A of the RTA to seek compensation for failure to pay rent due to COVID-19 hardship; terminate a lease solely on the basis of failure to pay rent due to COVID-19 hardship.  Tenants can have repairs carried out without obtaining approval from landlord.</w:t>
            </w:r>
          </w:p>
          <w:p w14:paraId="48DCD373" w14:textId="77777777" w:rsidR="00173F48" w:rsidRPr="00C111EC" w:rsidRDefault="00173F48" w:rsidP="00F92504">
            <w:r w:rsidRPr="00C111EC">
              <w:t xml:space="preserve">The </w:t>
            </w:r>
            <w:r w:rsidRPr="00C111EC">
              <w:rPr>
                <w:u w:val="single"/>
              </w:rPr>
              <w:t>Tribunal cannot</w:t>
            </w:r>
            <w:r w:rsidRPr="00C111EC">
              <w:t xml:space="preserve"> make an order terminating a lease solely on the basis of failure to pay rent due to COVID-19 hardship; make orders requiring interest to be paid on any amount payable under a residential tenancies agreement; use s99 of the RTA to make orders enforcing possession if tenant or others self-isolating at the premises.</w:t>
            </w:r>
          </w:p>
          <w:p w14:paraId="5AA8C395" w14:textId="77777777" w:rsidR="00173F48" w:rsidRPr="00C111EC" w:rsidRDefault="00173F48" w:rsidP="00F92504">
            <w:r w:rsidRPr="00C111EC">
              <w:t xml:space="preserve">The </w:t>
            </w:r>
            <w:r w:rsidRPr="00C111EC">
              <w:rPr>
                <w:u w:val="single"/>
              </w:rPr>
              <w:t>Tribunal can use</w:t>
            </w:r>
            <w:r w:rsidRPr="00C111EC">
              <w:t xml:space="preserve"> its powers under s89 of the RTA to make any order it sees fit/appropriate having regard to the conditions of the COVID-19 pandemic.</w:t>
            </w:r>
          </w:p>
          <w:p w14:paraId="17641F0C" w14:textId="77777777" w:rsidR="00173F48" w:rsidRPr="00C111EC" w:rsidRDefault="00173F48" w:rsidP="00F92504">
            <w:r w:rsidRPr="00C111EC">
              <w:t>When making orders for possession under s93 of the RTA, the Tribunal must have regard to the COVID-19 circumstances and may amend or modify such an order having regard to tenant’s circumstances  The Tribunal can also vary or set aside or replace any orders made during the prescribed period (covering retrospective application of this provision – applying as of 30 March 2020).</w:t>
            </w:r>
          </w:p>
        </w:tc>
      </w:tr>
      <w:tr w:rsidR="00173F48" w:rsidRPr="00C111EC" w14:paraId="2A76EBCE" w14:textId="77777777" w:rsidTr="00F92504">
        <w:tc>
          <w:tcPr>
            <w:tcW w:w="1696" w:type="dxa"/>
          </w:tcPr>
          <w:p w14:paraId="7FC77D8A" w14:textId="77777777" w:rsidR="00173F48" w:rsidRPr="00C111EC" w:rsidRDefault="00173F48" w:rsidP="00F92504">
            <w:r w:rsidRPr="00C111EC">
              <w:t>9</w:t>
            </w:r>
          </w:p>
        </w:tc>
        <w:tc>
          <w:tcPr>
            <w:tcW w:w="7320" w:type="dxa"/>
          </w:tcPr>
          <w:p w14:paraId="23281B15" w14:textId="77777777" w:rsidR="00173F48" w:rsidRPr="00C111EC" w:rsidRDefault="00173F48" w:rsidP="00F92504">
            <w:pPr>
              <w:rPr>
                <w:b/>
                <w:bCs/>
              </w:rPr>
            </w:pPr>
            <w:r w:rsidRPr="00C111EC">
              <w:rPr>
                <w:b/>
                <w:bCs/>
              </w:rPr>
              <w:t>Residential Parks – protection for tenants</w:t>
            </w:r>
          </w:p>
          <w:p w14:paraId="54A3C986" w14:textId="77777777" w:rsidR="00173F48" w:rsidRPr="00C111EC" w:rsidRDefault="00173F48" w:rsidP="00F92504">
            <w:r w:rsidRPr="00C111EC">
              <w:t xml:space="preserve">Modifications to </w:t>
            </w:r>
            <w:r w:rsidRPr="00C111EC">
              <w:rPr>
                <w:i/>
                <w:iCs/>
              </w:rPr>
              <w:t xml:space="preserve">Residential Parks Act </w:t>
            </w:r>
            <w:r w:rsidRPr="00C111EC">
              <w:t>as per modifications to RTA in section 8.</w:t>
            </w:r>
          </w:p>
        </w:tc>
      </w:tr>
      <w:tr w:rsidR="00173F48" w:rsidRPr="00C111EC" w14:paraId="27D4FA46" w14:textId="77777777" w:rsidTr="00F92504">
        <w:tc>
          <w:tcPr>
            <w:tcW w:w="1696" w:type="dxa"/>
          </w:tcPr>
          <w:p w14:paraId="2F40F44F" w14:textId="77777777" w:rsidR="00173F48" w:rsidRPr="00C111EC" w:rsidRDefault="00173F48" w:rsidP="00F92504">
            <w:r w:rsidRPr="00C111EC">
              <w:t>10</w:t>
            </w:r>
          </w:p>
        </w:tc>
        <w:tc>
          <w:tcPr>
            <w:tcW w:w="7320" w:type="dxa"/>
          </w:tcPr>
          <w:p w14:paraId="69E9568F" w14:textId="77777777" w:rsidR="00173F48" w:rsidRPr="00C111EC" w:rsidRDefault="00173F48" w:rsidP="00F92504">
            <w:pPr>
              <w:rPr>
                <w:b/>
                <w:bCs/>
              </w:rPr>
            </w:pPr>
            <w:r w:rsidRPr="00C111EC">
              <w:rPr>
                <w:b/>
                <w:bCs/>
              </w:rPr>
              <w:t>Supported Residential Facilities – protection for tenants</w:t>
            </w:r>
          </w:p>
          <w:p w14:paraId="37AAA050" w14:textId="77777777" w:rsidR="00173F48" w:rsidRPr="00C111EC" w:rsidRDefault="00173F48" w:rsidP="00F92504">
            <w:r w:rsidRPr="00C111EC">
              <w:t xml:space="preserve">Modifications to </w:t>
            </w:r>
            <w:r w:rsidRPr="00C111EC">
              <w:rPr>
                <w:i/>
                <w:iCs/>
              </w:rPr>
              <w:t xml:space="preserve">Supported Residential Facilities Act </w:t>
            </w:r>
            <w:r w:rsidRPr="00C111EC">
              <w:t>as per modifications to RTA in section 8.</w:t>
            </w:r>
          </w:p>
        </w:tc>
      </w:tr>
      <w:tr w:rsidR="00173F48" w:rsidRPr="00C111EC" w14:paraId="772EADF7" w14:textId="77777777" w:rsidTr="00F92504">
        <w:tc>
          <w:tcPr>
            <w:tcW w:w="1696" w:type="dxa"/>
          </w:tcPr>
          <w:p w14:paraId="309227C5" w14:textId="77777777" w:rsidR="00173F48" w:rsidRPr="00C111EC" w:rsidRDefault="00173F48" w:rsidP="00F92504">
            <w:r w:rsidRPr="00C111EC">
              <w:t>12</w:t>
            </w:r>
          </w:p>
        </w:tc>
        <w:tc>
          <w:tcPr>
            <w:tcW w:w="7320" w:type="dxa"/>
          </w:tcPr>
          <w:p w14:paraId="720C9052" w14:textId="77777777" w:rsidR="00173F48" w:rsidRPr="00C111EC" w:rsidRDefault="00173F48" w:rsidP="00F92504">
            <w:r w:rsidRPr="00C111EC">
              <w:rPr>
                <w:b/>
                <w:bCs/>
              </w:rPr>
              <w:t>Treasurer powers to modify financial reporting and audits</w:t>
            </w:r>
          </w:p>
          <w:p w14:paraId="67099F3C" w14:textId="77777777" w:rsidR="00173F48" w:rsidRPr="00C111EC" w:rsidRDefault="00173F48" w:rsidP="00F92504">
            <w:r w:rsidRPr="00C111EC">
              <w:t xml:space="preserve">Treasurer in consult with Auditor General can modify or suspend requirements under the </w:t>
            </w:r>
            <w:r w:rsidRPr="00C111EC">
              <w:rPr>
                <w:i/>
                <w:iCs/>
              </w:rPr>
              <w:t xml:space="preserve">Public Finance and Audit Act </w:t>
            </w:r>
            <w:r w:rsidRPr="00C111EC">
              <w:t xml:space="preserve">if </w:t>
            </w:r>
            <w:proofErr w:type="gramStart"/>
            <w:r w:rsidRPr="00C111EC">
              <w:t>necessary</w:t>
            </w:r>
            <w:proofErr w:type="gramEnd"/>
            <w:r w:rsidRPr="00C111EC">
              <w:t xml:space="preserve"> having regard to COVID-19 pandemic – but these powers cannot be used to diminish the protections or powers of the Auditor General under any Act or law. If the Treasurer exercises these powers the Auditor General must report on their use and that report must be tabled in Parliament. </w:t>
            </w:r>
          </w:p>
        </w:tc>
      </w:tr>
      <w:tr w:rsidR="00173F48" w:rsidRPr="00C111EC" w14:paraId="7E276D18" w14:textId="77777777" w:rsidTr="00F92504">
        <w:tc>
          <w:tcPr>
            <w:tcW w:w="1696" w:type="dxa"/>
          </w:tcPr>
          <w:p w14:paraId="54D4CF85" w14:textId="77777777" w:rsidR="00173F48" w:rsidRPr="00C111EC" w:rsidRDefault="00173F48" w:rsidP="00F92504">
            <w:r w:rsidRPr="00C111EC">
              <w:t>13</w:t>
            </w:r>
          </w:p>
        </w:tc>
        <w:tc>
          <w:tcPr>
            <w:tcW w:w="7320" w:type="dxa"/>
          </w:tcPr>
          <w:p w14:paraId="032A05A6" w14:textId="77777777" w:rsidR="00173F48" w:rsidRPr="00C111EC" w:rsidRDefault="00173F48" w:rsidP="00F92504">
            <w:pPr>
              <w:rPr>
                <w:b/>
                <w:bCs/>
              </w:rPr>
            </w:pPr>
            <w:r w:rsidRPr="00C111EC">
              <w:rPr>
                <w:b/>
                <w:bCs/>
              </w:rPr>
              <w:t>Auditor General can undertake review following use of Treasurers powers under section 12</w:t>
            </w:r>
          </w:p>
        </w:tc>
      </w:tr>
      <w:tr w:rsidR="00173F48" w:rsidRPr="00C111EC" w14:paraId="0C5AD714" w14:textId="77777777" w:rsidTr="00F92504">
        <w:tc>
          <w:tcPr>
            <w:tcW w:w="1696" w:type="dxa"/>
          </w:tcPr>
          <w:p w14:paraId="49912FFA" w14:textId="77777777" w:rsidR="00173F48" w:rsidRPr="00C111EC" w:rsidRDefault="00173F48" w:rsidP="00F92504">
            <w:r w:rsidRPr="00C111EC">
              <w:t>14</w:t>
            </w:r>
          </w:p>
        </w:tc>
        <w:tc>
          <w:tcPr>
            <w:tcW w:w="7320" w:type="dxa"/>
          </w:tcPr>
          <w:p w14:paraId="61EA56C5" w14:textId="77777777" w:rsidR="00173F48" w:rsidRPr="00C111EC" w:rsidRDefault="00173F48" w:rsidP="00F92504">
            <w:pPr>
              <w:rPr>
                <w:b/>
                <w:bCs/>
              </w:rPr>
            </w:pPr>
            <w:r w:rsidRPr="00C111EC">
              <w:rPr>
                <w:b/>
                <w:bCs/>
              </w:rPr>
              <w:t xml:space="preserve">General power to extend all time limits and terms of appointment in any law via regulation (under </w:t>
            </w:r>
            <w:r w:rsidRPr="00C111EC">
              <w:rPr>
                <w:b/>
                <w:bCs/>
                <w:i/>
                <w:iCs/>
              </w:rPr>
              <w:t xml:space="preserve">any </w:t>
            </w:r>
            <w:r w:rsidRPr="00C111EC">
              <w:rPr>
                <w:b/>
                <w:bCs/>
              </w:rPr>
              <w:t>Act)</w:t>
            </w:r>
          </w:p>
          <w:p w14:paraId="760FB24F" w14:textId="77777777" w:rsidR="00173F48" w:rsidRPr="00C111EC" w:rsidRDefault="00173F48" w:rsidP="00F92504">
            <w:r w:rsidRPr="00C111EC">
              <w:t>This includes anything that needs to be done at a particular time or within a particular period; or any appointment or circumstance ceases at a particular time or exists for a particular period; or anything would expire or cease at a particular time or at the end of a particular period.</w:t>
            </w:r>
          </w:p>
          <w:p w14:paraId="53386C5F" w14:textId="77777777" w:rsidR="00173F48" w:rsidRPr="00C111EC" w:rsidRDefault="00173F48" w:rsidP="00F92504">
            <w:r w:rsidRPr="00C111EC">
              <w:t>Regulations to be made by Governor, and may be subject to limitations.</w:t>
            </w:r>
          </w:p>
          <w:p w14:paraId="36A2531A" w14:textId="77777777" w:rsidR="00173F48" w:rsidRPr="00C111EC" w:rsidRDefault="00173F48" w:rsidP="00F92504">
            <w:r w:rsidRPr="00C111EC">
              <w:t>Must not extend beyond 6 months</w:t>
            </w:r>
          </w:p>
        </w:tc>
      </w:tr>
      <w:tr w:rsidR="00173F48" w:rsidRPr="00C111EC" w14:paraId="4D46E777" w14:textId="77777777" w:rsidTr="00F92504">
        <w:tc>
          <w:tcPr>
            <w:tcW w:w="1696" w:type="dxa"/>
          </w:tcPr>
          <w:p w14:paraId="13F9CA73" w14:textId="77777777" w:rsidR="00173F48" w:rsidRPr="00C111EC" w:rsidRDefault="00173F48" w:rsidP="00F92504">
            <w:r w:rsidRPr="00C111EC">
              <w:t>15</w:t>
            </w:r>
          </w:p>
        </w:tc>
        <w:tc>
          <w:tcPr>
            <w:tcW w:w="7320" w:type="dxa"/>
          </w:tcPr>
          <w:p w14:paraId="70D84962" w14:textId="77777777" w:rsidR="00173F48" w:rsidRPr="00C111EC" w:rsidRDefault="00173F48" w:rsidP="00F92504">
            <w:r w:rsidRPr="00C111EC">
              <w:rPr>
                <w:b/>
                <w:bCs/>
              </w:rPr>
              <w:t>Modification of requirements relating to laying of reports before Parliament</w:t>
            </w:r>
          </w:p>
          <w:p w14:paraId="348429DE" w14:textId="77777777" w:rsidR="00173F48" w:rsidRPr="00C111EC" w:rsidRDefault="00173F48" w:rsidP="00F92504">
            <w:r w:rsidRPr="00C111EC">
              <w:t xml:space="preserve">For </w:t>
            </w:r>
            <w:proofErr w:type="gramStart"/>
            <w:r w:rsidRPr="00C111EC">
              <w:t>example</w:t>
            </w:r>
            <w:proofErr w:type="gramEnd"/>
            <w:r w:rsidRPr="00C111EC">
              <w:t xml:space="preserve"> extending tabling requirements for most reports by 7 days and allowing receipt of reports by President of House if Parliament not sitting</w:t>
            </w:r>
          </w:p>
        </w:tc>
      </w:tr>
      <w:tr w:rsidR="00173F48" w:rsidRPr="00C111EC" w14:paraId="653A3CB7" w14:textId="77777777" w:rsidTr="00F92504">
        <w:tc>
          <w:tcPr>
            <w:tcW w:w="1696" w:type="dxa"/>
          </w:tcPr>
          <w:p w14:paraId="342A9473" w14:textId="77777777" w:rsidR="00173F48" w:rsidRPr="00C111EC" w:rsidRDefault="00173F48" w:rsidP="00F92504">
            <w:r w:rsidRPr="00C111EC">
              <w:lastRenderedPageBreak/>
              <w:t>16</w:t>
            </w:r>
          </w:p>
        </w:tc>
        <w:tc>
          <w:tcPr>
            <w:tcW w:w="7320" w:type="dxa"/>
          </w:tcPr>
          <w:p w14:paraId="608DDFE9" w14:textId="77777777" w:rsidR="00173F48" w:rsidRPr="00C111EC" w:rsidRDefault="00173F48" w:rsidP="00F92504">
            <w:pPr>
              <w:rPr>
                <w:b/>
                <w:bCs/>
              </w:rPr>
            </w:pPr>
            <w:r w:rsidRPr="00C111EC">
              <w:rPr>
                <w:b/>
                <w:bCs/>
              </w:rPr>
              <w:t xml:space="preserve">General power to suspend or modify requirements </w:t>
            </w:r>
            <w:proofErr w:type="spellStart"/>
            <w:r w:rsidRPr="00C111EC">
              <w:rPr>
                <w:b/>
                <w:bCs/>
              </w:rPr>
              <w:t>re signing</w:t>
            </w:r>
            <w:proofErr w:type="spellEnd"/>
            <w:r w:rsidRPr="00C111EC">
              <w:rPr>
                <w:b/>
                <w:bCs/>
              </w:rPr>
              <w:t xml:space="preserve"> or witnessing documents (under </w:t>
            </w:r>
            <w:r w:rsidRPr="00C111EC">
              <w:rPr>
                <w:b/>
                <w:bCs/>
                <w:i/>
                <w:iCs/>
              </w:rPr>
              <w:t xml:space="preserve">any </w:t>
            </w:r>
            <w:r w:rsidRPr="00C111EC">
              <w:rPr>
                <w:b/>
                <w:bCs/>
              </w:rPr>
              <w:t>Act)</w:t>
            </w:r>
          </w:p>
          <w:p w14:paraId="3DD3C935" w14:textId="77777777" w:rsidR="00173F48" w:rsidRPr="00C111EC" w:rsidRDefault="00173F48" w:rsidP="00F92504">
            <w:r w:rsidRPr="00C111EC">
              <w:t>Regulations to be made by Governor, and may be subject to limitations.</w:t>
            </w:r>
          </w:p>
          <w:p w14:paraId="00DACEC0" w14:textId="77777777" w:rsidR="00173F48" w:rsidRPr="00C111EC" w:rsidRDefault="00173F48" w:rsidP="00F92504">
            <w:pPr>
              <w:rPr>
                <w:b/>
                <w:bCs/>
              </w:rPr>
            </w:pPr>
            <w:r w:rsidRPr="00C111EC">
              <w:t>Must not extend beyond 6 months</w:t>
            </w:r>
          </w:p>
        </w:tc>
      </w:tr>
      <w:tr w:rsidR="00173F48" w:rsidRPr="00C111EC" w14:paraId="31F4D02E" w14:textId="77777777" w:rsidTr="00F92504">
        <w:tc>
          <w:tcPr>
            <w:tcW w:w="1696" w:type="dxa"/>
          </w:tcPr>
          <w:p w14:paraId="063835B1" w14:textId="77777777" w:rsidR="00173F48" w:rsidRPr="00C111EC" w:rsidRDefault="00173F48" w:rsidP="00F92504">
            <w:r w:rsidRPr="00C111EC">
              <w:t>17</w:t>
            </w:r>
          </w:p>
        </w:tc>
        <w:tc>
          <w:tcPr>
            <w:tcW w:w="7320" w:type="dxa"/>
          </w:tcPr>
          <w:p w14:paraId="357073E2" w14:textId="77777777" w:rsidR="00173F48" w:rsidRPr="00C111EC" w:rsidRDefault="00173F48" w:rsidP="00F92504">
            <w:r w:rsidRPr="00C111EC">
              <w:rPr>
                <w:b/>
                <w:bCs/>
              </w:rPr>
              <w:t xml:space="preserve">Meetings in person etc may occur by </w:t>
            </w:r>
            <w:proofErr w:type="spellStart"/>
            <w:r w:rsidRPr="00C111EC">
              <w:rPr>
                <w:b/>
                <w:bCs/>
              </w:rPr>
              <w:t>audiovisual</w:t>
            </w:r>
            <w:proofErr w:type="spellEnd"/>
            <w:r w:rsidRPr="00C111EC">
              <w:rPr>
                <w:b/>
                <w:bCs/>
              </w:rPr>
              <w:t xml:space="preserve"> or other means</w:t>
            </w:r>
          </w:p>
          <w:p w14:paraId="361A81DD" w14:textId="77777777" w:rsidR="00173F48" w:rsidRPr="00C111EC" w:rsidRDefault="00173F48" w:rsidP="00F92504">
            <w:r w:rsidRPr="00C111EC">
              <w:t xml:space="preserve">Exceptions to be contained in regulations </w:t>
            </w:r>
          </w:p>
        </w:tc>
      </w:tr>
      <w:tr w:rsidR="00173F48" w:rsidRPr="00C111EC" w14:paraId="6629B7D7" w14:textId="77777777" w:rsidTr="00F92504">
        <w:tc>
          <w:tcPr>
            <w:tcW w:w="1696" w:type="dxa"/>
          </w:tcPr>
          <w:p w14:paraId="17E346D6" w14:textId="77777777" w:rsidR="00173F48" w:rsidRPr="00C111EC" w:rsidRDefault="00173F48" w:rsidP="00F92504">
            <w:r w:rsidRPr="00C111EC">
              <w:t>18</w:t>
            </w:r>
          </w:p>
        </w:tc>
        <w:tc>
          <w:tcPr>
            <w:tcW w:w="7320" w:type="dxa"/>
          </w:tcPr>
          <w:p w14:paraId="05213638" w14:textId="77777777" w:rsidR="00173F48" w:rsidRPr="00C111EC" w:rsidRDefault="00173F48" w:rsidP="00F92504">
            <w:pPr>
              <w:rPr>
                <w:b/>
                <w:bCs/>
              </w:rPr>
            </w:pPr>
            <w:r w:rsidRPr="00C111EC">
              <w:rPr>
                <w:b/>
                <w:bCs/>
              </w:rPr>
              <w:t>Service of document can occur in modified form</w:t>
            </w:r>
          </w:p>
        </w:tc>
      </w:tr>
      <w:tr w:rsidR="00173F48" w:rsidRPr="00C111EC" w14:paraId="6CABF656" w14:textId="77777777" w:rsidTr="00F92504">
        <w:tc>
          <w:tcPr>
            <w:tcW w:w="1696" w:type="dxa"/>
          </w:tcPr>
          <w:p w14:paraId="697EA778" w14:textId="77777777" w:rsidR="00173F48" w:rsidRPr="00C111EC" w:rsidRDefault="00173F48" w:rsidP="00F92504">
            <w:r w:rsidRPr="00C111EC">
              <w:t xml:space="preserve">19 </w:t>
            </w:r>
          </w:p>
        </w:tc>
        <w:tc>
          <w:tcPr>
            <w:tcW w:w="7320" w:type="dxa"/>
          </w:tcPr>
          <w:p w14:paraId="3AEB83CE" w14:textId="77777777" w:rsidR="00173F48" w:rsidRPr="00C111EC" w:rsidRDefault="00173F48" w:rsidP="00F92504">
            <w:pPr>
              <w:rPr>
                <w:b/>
                <w:bCs/>
              </w:rPr>
            </w:pPr>
            <w:r w:rsidRPr="00C111EC">
              <w:rPr>
                <w:b/>
                <w:bCs/>
              </w:rPr>
              <w:t xml:space="preserve">Regulation making powers – very broad </w:t>
            </w:r>
          </w:p>
          <w:p w14:paraId="782C4E2C" w14:textId="77777777" w:rsidR="00173F48" w:rsidRPr="00C111EC" w:rsidRDefault="00173F48" w:rsidP="00F92504">
            <w:r w:rsidRPr="00C111EC">
              <w:t>Governor has very broad regulation making powers under this Act including power to set out the circumstances in which a person will be taken to be suffering financial hardship as a result of the COVID-19 pandemic for the purposes of the Act and fines of up to $10,000 for breach of regs and fines of up to $5000 for breach of regs, as well as regs relating to modification or suspension of the operation of Schedule 1 or any Act or law relating to the matters dealt with in that Schedule.</w:t>
            </w:r>
          </w:p>
          <w:p w14:paraId="56BFF41B" w14:textId="77777777" w:rsidR="00173F48" w:rsidRPr="00C111EC" w:rsidRDefault="00173F48" w:rsidP="00F92504">
            <w:pPr>
              <w:rPr>
                <w:b/>
                <w:bCs/>
              </w:rPr>
            </w:pPr>
            <w:r w:rsidRPr="00C111EC">
              <w:t xml:space="preserve">Also includes power to provide that </w:t>
            </w:r>
            <w:r w:rsidRPr="00C111EC">
              <w:rPr>
                <w:b/>
                <w:bCs/>
                <w:i/>
                <w:iCs/>
              </w:rPr>
              <w:t>any matter or thing is to be determined, dispensed with, regulated or prohibited according to the discretion of the Minister, the State Co-ordinator, the Chief Public Health Officer or any other specified body or person</w:t>
            </w:r>
            <w:r w:rsidRPr="00C111EC">
              <w:rPr>
                <w:b/>
                <w:bCs/>
              </w:rPr>
              <w:t>.</w:t>
            </w:r>
          </w:p>
          <w:p w14:paraId="1D048F0B" w14:textId="77777777" w:rsidR="00173F48" w:rsidRPr="00C111EC" w:rsidRDefault="00173F48" w:rsidP="00F92504">
            <w:r w:rsidRPr="00C111EC">
              <w:t>Regs to expire after 6 months</w:t>
            </w:r>
          </w:p>
          <w:p w14:paraId="52F06DAA" w14:textId="77777777" w:rsidR="00173F48" w:rsidRPr="00C111EC" w:rsidRDefault="00173F48" w:rsidP="00F92504"/>
        </w:tc>
      </w:tr>
      <w:tr w:rsidR="00173F48" w:rsidRPr="00C111EC" w14:paraId="1A2F6494" w14:textId="77777777" w:rsidTr="00F92504">
        <w:tc>
          <w:tcPr>
            <w:tcW w:w="1696" w:type="dxa"/>
          </w:tcPr>
          <w:p w14:paraId="1C162A72" w14:textId="77777777" w:rsidR="00173F48" w:rsidRPr="00C111EC" w:rsidRDefault="00173F48" w:rsidP="00F92504">
            <w:r w:rsidRPr="00C111EC">
              <w:t>21</w:t>
            </w:r>
          </w:p>
        </w:tc>
        <w:tc>
          <w:tcPr>
            <w:tcW w:w="7320" w:type="dxa"/>
          </w:tcPr>
          <w:p w14:paraId="19670BCB" w14:textId="77777777" w:rsidR="00173F48" w:rsidRPr="00C111EC" w:rsidRDefault="00173F48" w:rsidP="00F92504">
            <w:pPr>
              <w:rPr>
                <w:b/>
                <w:bCs/>
              </w:rPr>
            </w:pPr>
            <w:r w:rsidRPr="00C111EC">
              <w:rPr>
                <w:b/>
                <w:bCs/>
              </w:rPr>
              <w:t>Regulations subject to disallowance</w:t>
            </w:r>
          </w:p>
          <w:p w14:paraId="213C1CF3" w14:textId="77777777" w:rsidR="00173F48" w:rsidRPr="00C111EC" w:rsidRDefault="00173F48" w:rsidP="00F92504">
            <w:r w:rsidRPr="00C111EC">
              <w:t>All regs made under the Act must be laid before each House of Parliament on the next sitting day of that House after the regulations are made</w:t>
            </w:r>
          </w:p>
        </w:tc>
      </w:tr>
      <w:tr w:rsidR="00173F48" w:rsidRPr="00C111EC" w14:paraId="7D295A5C" w14:textId="77777777" w:rsidTr="00F92504">
        <w:tc>
          <w:tcPr>
            <w:tcW w:w="1696" w:type="dxa"/>
          </w:tcPr>
          <w:p w14:paraId="2732547D" w14:textId="77777777" w:rsidR="00173F48" w:rsidRPr="00C111EC" w:rsidRDefault="00173F48" w:rsidP="00F92504">
            <w:r w:rsidRPr="00C111EC">
              <w:br w:type="page"/>
              <w:t>22</w:t>
            </w:r>
          </w:p>
        </w:tc>
        <w:tc>
          <w:tcPr>
            <w:tcW w:w="7320" w:type="dxa"/>
          </w:tcPr>
          <w:p w14:paraId="50E00744" w14:textId="77777777" w:rsidR="00173F48" w:rsidRPr="00C111EC" w:rsidRDefault="00173F48" w:rsidP="00F92504">
            <w:pPr>
              <w:rPr>
                <w:b/>
                <w:bCs/>
              </w:rPr>
            </w:pPr>
            <w:r w:rsidRPr="00C111EC">
              <w:rPr>
                <w:b/>
                <w:bCs/>
              </w:rPr>
              <w:t xml:space="preserve">Immunity from civil and criminal liability for actions/conduct/omissions made in relation to this Act in relation to COVID-19 outbreak </w:t>
            </w:r>
          </w:p>
          <w:p w14:paraId="3D839CF6" w14:textId="77777777" w:rsidR="00173F48" w:rsidRPr="00C111EC" w:rsidRDefault="00173F48" w:rsidP="00F92504"/>
        </w:tc>
      </w:tr>
      <w:tr w:rsidR="00173F48" w:rsidRPr="00C111EC" w14:paraId="61055A6D" w14:textId="77777777" w:rsidTr="00F92504">
        <w:tc>
          <w:tcPr>
            <w:tcW w:w="1696" w:type="dxa"/>
          </w:tcPr>
          <w:p w14:paraId="367C8930" w14:textId="77777777" w:rsidR="00173F48" w:rsidRPr="00C111EC" w:rsidRDefault="00173F48" w:rsidP="00F92504">
            <w:pPr>
              <w:rPr>
                <w:b/>
                <w:bCs/>
              </w:rPr>
            </w:pPr>
            <w:r w:rsidRPr="00C111EC">
              <w:rPr>
                <w:b/>
                <w:bCs/>
              </w:rPr>
              <w:t>Schedule 1</w:t>
            </w:r>
          </w:p>
        </w:tc>
        <w:tc>
          <w:tcPr>
            <w:tcW w:w="7320" w:type="dxa"/>
          </w:tcPr>
          <w:p w14:paraId="62A7C363" w14:textId="77777777" w:rsidR="00173F48" w:rsidRPr="00C111EC" w:rsidRDefault="00173F48" w:rsidP="00F92504">
            <w:r w:rsidRPr="00C111EC">
              <w:rPr>
                <w:b/>
                <w:bCs/>
              </w:rPr>
              <w:t>Detention of protected persons during COVID-19 pandemic</w:t>
            </w:r>
          </w:p>
          <w:p w14:paraId="58FF9BB5" w14:textId="77777777" w:rsidR="00173F48" w:rsidRPr="00C111EC" w:rsidRDefault="00173F48" w:rsidP="00F92504"/>
        </w:tc>
      </w:tr>
      <w:tr w:rsidR="00173F48" w:rsidRPr="00C111EC" w14:paraId="6238F6D3" w14:textId="77777777" w:rsidTr="00F92504">
        <w:tc>
          <w:tcPr>
            <w:tcW w:w="1696" w:type="dxa"/>
          </w:tcPr>
          <w:p w14:paraId="256AE21D" w14:textId="77777777" w:rsidR="00173F48" w:rsidRPr="00C111EC" w:rsidRDefault="00173F48" w:rsidP="00F92504">
            <w:pPr>
              <w:rPr>
                <w:b/>
                <w:bCs/>
              </w:rPr>
            </w:pPr>
            <w:r w:rsidRPr="00C111EC">
              <w:rPr>
                <w:b/>
                <w:bCs/>
              </w:rPr>
              <w:t>2</w:t>
            </w:r>
          </w:p>
        </w:tc>
        <w:tc>
          <w:tcPr>
            <w:tcW w:w="7320" w:type="dxa"/>
          </w:tcPr>
          <w:p w14:paraId="10713633" w14:textId="77777777" w:rsidR="00173F48" w:rsidRPr="00C111EC" w:rsidRDefault="00173F48" w:rsidP="00F92504">
            <w:pPr>
              <w:rPr>
                <w:b/>
                <w:bCs/>
              </w:rPr>
            </w:pPr>
            <w:r w:rsidRPr="00C111EC">
              <w:rPr>
                <w:b/>
                <w:bCs/>
              </w:rPr>
              <w:t>‘protected person’ = mentally incapacitated person</w:t>
            </w:r>
            <w:r w:rsidRPr="00C111EC">
              <w:t xml:space="preserve"> means a mentally incapacitated person within the meaning of the </w:t>
            </w:r>
            <w:r w:rsidRPr="00C111EC">
              <w:rPr>
                <w:i/>
                <w:iCs/>
              </w:rPr>
              <w:t xml:space="preserve">Guardianship and Administration Act 1993 </w:t>
            </w:r>
            <w:r w:rsidRPr="00C111EC">
              <w:t xml:space="preserve">or a mentally incapacitated person who is a resident of a supported residential facility; </w:t>
            </w:r>
            <w:proofErr w:type="gramStart"/>
            <w:r w:rsidRPr="00C111EC">
              <w:t>or  a</w:t>
            </w:r>
            <w:proofErr w:type="gramEnd"/>
            <w:r w:rsidRPr="00C111EC">
              <w:t xml:space="preserve"> mentally incapacitated person who is a resident in other supported accommodation of a kind prescribed by the regulations</w:t>
            </w:r>
          </w:p>
        </w:tc>
      </w:tr>
      <w:tr w:rsidR="00173F48" w:rsidRPr="00C111EC" w14:paraId="349543DA" w14:textId="77777777" w:rsidTr="00F92504">
        <w:tc>
          <w:tcPr>
            <w:tcW w:w="1696" w:type="dxa"/>
          </w:tcPr>
          <w:p w14:paraId="3E61F49D" w14:textId="77777777" w:rsidR="00173F48" w:rsidRPr="00C111EC" w:rsidRDefault="00173F48" w:rsidP="00F92504">
            <w:pPr>
              <w:rPr>
                <w:b/>
                <w:bCs/>
              </w:rPr>
            </w:pPr>
            <w:r w:rsidRPr="00C111EC">
              <w:rPr>
                <w:b/>
                <w:bCs/>
              </w:rPr>
              <w:t>4</w:t>
            </w:r>
          </w:p>
        </w:tc>
        <w:tc>
          <w:tcPr>
            <w:tcW w:w="7320" w:type="dxa"/>
          </w:tcPr>
          <w:p w14:paraId="4EF1FD75" w14:textId="77777777" w:rsidR="00173F48" w:rsidRPr="00C111EC" w:rsidRDefault="00173F48" w:rsidP="00F92504">
            <w:pPr>
              <w:spacing w:after="360"/>
              <w:rPr>
                <w:color w:val="000000"/>
              </w:rPr>
            </w:pPr>
            <w:r w:rsidRPr="00C111EC">
              <w:rPr>
                <w:b/>
                <w:bCs/>
              </w:rPr>
              <w:t xml:space="preserve">Guidelines relating to detention </w:t>
            </w:r>
            <w:r w:rsidRPr="00C111EC">
              <w:t xml:space="preserve">– to be made by Minister by notice in the Gazette.  </w:t>
            </w:r>
            <w:r w:rsidRPr="00C111EC">
              <w:rPr>
                <w:color w:val="000000"/>
              </w:rPr>
              <w:t xml:space="preserve">Guidelines have been published in the </w:t>
            </w:r>
            <w:hyperlink r:id="rId9" w:tgtFrame="_blank" w:tooltip="Link to South Australian Government Gazette - link opens in new window" w:history="1">
              <w:r w:rsidRPr="00C111EC">
                <w:rPr>
                  <w:color w:val="004689"/>
                  <w:u w:val="single"/>
                </w:rPr>
                <w:t>Gazette 23.4.2020 p812</w:t>
              </w:r>
            </w:hyperlink>
            <w:r w:rsidRPr="00C111EC">
              <w:rPr>
                <w:color w:val="004689"/>
                <w:u w:val="single"/>
              </w:rPr>
              <w:t xml:space="preserve"> </w:t>
            </w:r>
            <w:r w:rsidRPr="00C111EC">
              <w:t>and include requirement that detention be ‘</w:t>
            </w:r>
            <w:r w:rsidRPr="00C111EC">
              <w:rPr>
                <w:color w:val="000000"/>
              </w:rPr>
              <w:t xml:space="preserve">the least restrictive of the protected person's rights and personal autonomy as is consistent with his or her proper care and protection so as: to facilitate compliance with any directions or guidance given by the State Co-ordinator or Chief Public Health Officer in relation to the COVID-19 pandemic; and/or  to address any identified risks to the protected person and/or others arising from the COVID-19 pandemic’.  The Guidelines further provide that detention pursuant to Schedule 1 must not comprise seclusion except as an option of last resort and that the nature and means of any detention pursuant to </w:t>
            </w:r>
            <w:r w:rsidRPr="00C111EC">
              <w:rPr>
                <w:color w:val="000000"/>
              </w:rPr>
              <w:lastRenderedPageBreak/>
              <w:t xml:space="preserve">Schedule 1 must not be determined based upon the convenience of others (including the person exercising the power of detention). </w:t>
            </w:r>
          </w:p>
        </w:tc>
      </w:tr>
      <w:tr w:rsidR="00173F48" w:rsidRPr="00C111EC" w14:paraId="6FAD200A" w14:textId="77777777" w:rsidTr="00F92504">
        <w:tc>
          <w:tcPr>
            <w:tcW w:w="1696" w:type="dxa"/>
          </w:tcPr>
          <w:p w14:paraId="5D58CD92" w14:textId="77777777" w:rsidR="00173F48" w:rsidRPr="00C111EC" w:rsidRDefault="00173F48" w:rsidP="00F92504">
            <w:pPr>
              <w:rPr>
                <w:b/>
                <w:bCs/>
              </w:rPr>
            </w:pPr>
            <w:r w:rsidRPr="00C111EC">
              <w:rPr>
                <w:b/>
                <w:bCs/>
              </w:rPr>
              <w:lastRenderedPageBreak/>
              <w:t>5, 8</w:t>
            </w:r>
          </w:p>
        </w:tc>
        <w:tc>
          <w:tcPr>
            <w:tcW w:w="7320" w:type="dxa"/>
          </w:tcPr>
          <w:p w14:paraId="32D34FE7" w14:textId="77777777" w:rsidR="00173F48" w:rsidRPr="00C111EC" w:rsidRDefault="00173F48" w:rsidP="00F92504">
            <w:r w:rsidRPr="00C111EC">
              <w:rPr>
                <w:b/>
                <w:bCs/>
              </w:rPr>
              <w:t>‘authorising officer’= or any public servant appointed by the Minister</w:t>
            </w:r>
            <w:r w:rsidRPr="00C111EC">
              <w:t xml:space="preserve"> who in the opinion of the Minister, has the appropriate qualifications or experience to perform the functions and exercise the powers conferred on the Authorising Officer under this Schedule; subject to the direction and control of the Minister; must comply with Guidelines and any regs; can be terminated at any time by the Minister </w:t>
            </w:r>
          </w:p>
        </w:tc>
      </w:tr>
      <w:tr w:rsidR="00173F48" w:rsidRPr="00C111EC" w14:paraId="37DA2A41" w14:textId="77777777" w:rsidTr="00F92504">
        <w:tc>
          <w:tcPr>
            <w:tcW w:w="1696" w:type="dxa"/>
          </w:tcPr>
          <w:p w14:paraId="5FB318A4" w14:textId="77777777" w:rsidR="00173F48" w:rsidRPr="00C111EC" w:rsidRDefault="00173F48" w:rsidP="00F92504">
            <w:pPr>
              <w:rPr>
                <w:b/>
                <w:bCs/>
              </w:rPr>
            </w:pPr>
            <w:r w:rsidRPr="00C111EC">
              <w:rPr>
                <w:b/>
                <w:bCs/>
              </w:rPr>
              <w:t>6</w:t>
            </w:r>
          </w:p>
        </w:tc>
        <w:tc>
          <w:tcPr>
            <w:tcW w:w="7320" w:type="dxa"/>
          </w:tcPr>
          <w:p w14:paraId="74C532E7" w14:textId="77777777" w:rsidR="00173F48" w:rsidRPr="00C111EC" w:rsidRDefault="00173F48" w:rsidP="00F92504">
            <w:pPr>
              <w:rPr>
                <w:b/>
                <w:bCs/>
              </w:rPr>
            </w:pPr>
            <w:r w:rsidRPr="00C111EC">
              <w:rPr>
                <w:b/>
                <w:bCs/>
              </w:rPr>
              <w:t xml:space="preserve">Authorising Officer may give directions </w:t>
            </w:r>
          </w:p>
          <w:p w14:paraId="4C3EB444" w14:textId="77777777" w:rsidR="00173F48" w:rsidRPr="00C111EC" w:rsidRDefault="00173F48" w:rsidP="00F92504">
            <w:r w:rsidRPr="00C111EC">
              <w:t>Broad powers to direct for purposes considers appropriate for the purposes of this Schedule</w:t>
            </w:r>
          </w:p>
          <w:p w14:paraId="1C96615B" w14:textId="77777777" w:rsidR="00173F48" w:rsidRPr="00C111EC" w:rsidRDefault="00173F48" w:rsidP="00F92504">
            <w:r w:rsidRPr="00C111EC">
              <w:t>Directions to be in writing and must have regard to COVID-19 circumstances</w:t>
            </w:r>
          </w:p>
          <w:p w14:paraId="5021B2EE" w14:textId="77777777" w:rsidR="00173F48" w:rsidRPr="00C111EC" w:rsidRDefault="00173F48" w:rsidP="00F92504">
            <w:r w:rsidRPr="00C111EC">
              <w:t xml:space="preserve">Fines for failure to </w:t>
            </w:r>
            <w:proofErr w:type="gramStart"/>
            <w:r w:rsidRPr="00C111EC">
              <w:t>comply :</w:t>
            </w:r>
            <w:proofErr w:type="gramEnd"/>
            <w:r w:rsidRPr="00C111EC">
              <w:t xml:space="preserve"> max $75000 for corporations $5000 for individuals</w:t>
            </w:r>
          </w:p>
        </w:tc>
      </w:tr>
      <w:tr w:rsidR="00173F48" w:rsidRPr="00C111EC" w14:paraId="74FA6027" w14:textId="77777777" w:rsidTr="00F92504">
        <w:tc>
          <w:tcPr>
            <w:tcW w:w="1696" w:type="dxa"/>
          </w:tcPr>
          <w:p w14:paraId="4793D8A1" w14:textId="77777777" w:rsidR="00173F48" w:rsidRPr="00C111EC" w:rsidRDefault="00173F48" w:rsidP="00F92504">
            <w:pPr>
              <w:rPr>
                <w:b/>
                <w:bCs/>
              </w:rPr>
            </w:pPr>
            <w:r w:rsidRPr="00C111EC">
              <w:rPr>
                <w:b/>
                <w:bCs/>
              </w:rPr>
              <w:t>7</w:t>
            </w:r>
          </w:p>
        </w:tc>
        <w:tc>
          <w:tcPr>
            <w:tcW w:w="7320" w:type="dxa"/>
          </w:tcPr>
          <w:p w14:paraId="0DEA6A3D" w14:textId="77777777" w:rsidR="00173F48" w:rsidRPr="00C111EC" w:rsidRDefault="00173F48" w:rsidP="00F92504">
            <w:r w:rsidRPr="00C111EC">
              <w:rPr>
                <w:b/>
                <w:bCs/>
              </w:rPr>
              <w:t xml:space="preserve">Authorising Officer can delegate powers in writing </w:t>
            </w:r>
          </w:p>
        </w:tc>
      </w:tr>
      <w:tr w:rsidR="00173F48" w:rsidRPr="00C111EC" w14:paraId="5963754B" w14:textId="77777777" w:rsidTr="00F92504">
        <w:tc>
          <w:tcPr>
            <w:tcW w:w="1696" w:type="dxa"/>
          </w:tcPr>
          <w:p w14:paraId="4447A8A3" w14:textId="77777777" w:rsidR="00173F48" w:rsidRPr="00C111EC" w:rsidRDefault="00173F48" w:rsidP="00F92504">
            <w:pPr>
              <w:rPr>
                <w:b/>
                <w:bCs/>
              </w:rPr>
            </w:pPr>
          </w:p>
        </w:tc>
        <w:tc>
          <w:tcPr>
            <w:tcW w:w="7320" w:type="dxa"/>
          </w:tcPr>
          <w:p w14:paraId="0C1D416C" w14:textId="77777777" w:rsidR="00173F48" w:rsidRPr="00C111EC" w:rsidRDefault="00173F48" w:rsidP="00F92504">
            <w:pPr>
              <w:rPr>
                <w:b/>
                <w:bCs/>
              </w:rPr>
            </w:pPr>
            <w:r w:rsidRPr="00C111EC">
              <w:rPr>
                <w:b/>
                <w:bCs/>
              </w:rPr>
              <w:t>Authorised officers = police officers, officers under Emergency Management Act or other classes of public servant as per regs</w:t>
            </w:r>
          </w:p>
        </w:tc>
      </w:tr>
      <w:tr w:rsidR="00173F48" w:rsidRPr="00C111EC" w14:paraId="6B5CDC11" w14:textId="77777777" w:rsidTr="00F92504">
        <w:tc>
          <w:tcPr>
            <w:tcW w:w="1696" w:type="dxa"/>
          </w:tcPr>
          <w:p w14:paraId="5797ACC4" w14:textId="77777777" w:rsidR="00173F48" w:rsidRPr="00C111EC" w:rsidRDefault="00173F48" w:rsidP="00F92504">
            <w:pPr>
              <w:rPr>
                <w:b/>
                <w:bCs/>
              </w:rPr>
            </w:pPr>
            <w:r w:rsidRPr="00C111EC">
              <w:rPr>
                <w:b/>
                <w:bCs/>
              </w:rPr>
              <w:t>9</w:t>
            </w:r>
          </w:p>
        </w:tc>
        <w:tc>
          <w:tcPr>
            <w:tcW w:w="7320" w:type="dxa"/>
          </w:tcPr>
          <w:p w14:paraId="70CBB1F8" w14:textId="77777777" w:rsidR="00173F48" w:rsidRPr="00C111EC" w:rsidRDefault="00173F48" w:rsidP="00F92504">
            <w:pPr>
              <w:rPr>
                <w:b/>
                <w:bCs/>
              </w:rPr>
            </w:pPr>
            <w:r w:rsidRPr="00C111EC">
              <w:rPr>
                <w:b/>
                <w:bCs/>
              </w:rPr>
              <w:t>Authorised officer can detain protected persons</w:t>
            </w:r>
          </w:p>
          <w:p w14:paraId="51775DF8" w14:textId="77777777" w:rsidR="00173F48" w:rsidRPr="00C111EC" w:rsidRDefault="00173F48" w:rsidP="00F92504">
            <w:r w:rsidRPr="00C111EC">
              <w:t xml:space="preserve">If they reasonably believe that a protected person is unlawfully at large and that </w:t>
            </w:r>
            <w:proofErr w:type="gramStart"/>
            <w:r w:rsidRPr="00C111EC">
              <w:t>taking action</w:t>
            </w:r>
            <w:proofErr w:type="gramEnd"/>
            <w:r w:rsidRPr="00C111EC">
              <w:t xml:space="preserve"> under this clause is appropriate for a purpose related to the COVID-19 pandemic – detention can be at the persons’ place of residence or other place determined by officer – must comply with guidelines.  Cannot detain in correctional facility and cannot deny medical treatment</w:t>
            </w:r>
          </w:p>
        </w:tc>
      </w:tr>
      <w:tr w:rsidR="00173F48" w:rsidRPr="00C111EC" w14:paraId="55D5B75B" w14:textId="77777777" w:rsidTr="00F92504">
        <w:tc>
          <w:tcPr>
            <w:tcW w:w="1696" w:type="dxa"/>
          </w:tcPr>
          <w:p w14:paraId="6473645F" w14:textId="77777777" w:rsidR="00173F48" w:rsidRPr="00C111EC" w:rsidRDefault="00173F48" w:rsidP="00F92504">
            <w:pPr>
              <w:rPr>
                <w:b/>
                <w:bCs/>
              </w:rPr>
            </w:pPr>
            <w:r w:rsidRPr="00C111EC">
              <w:rPr>
                <w:b/>
                <w:bCs/>
              </w:rPr>
              <w:t>10</w:t>
            </w:r>
          </w:p>
        </w:tc>
        <w:tc>
          <w:tcPr>
            <w:tcW w:w="7320" w:type="dxa"/>
          </w:tcPr>
          <w:p w14:paraId="39DE7571" w14:textId="77777777" w:rsidR="00173F48" w:rsidRPr="00C111EC" w:rsidRDefault="00173F48" w:rsidP="00F92504">
            <w:r w:rsidRPr="00C111EC">
              <w:rPr>
                <w:b/>
                <w:bCs/>
              </w:rPr>
              <w:t>Guardians of protected persons can detain and exercise other powers</w:t>
            </w:r>
          </w:p>
          <w:p w14:paraId="264C3D3B" w14:textId="77777777" w:rsidR="00173F48" w:rsidRPr="00C111EC" w:rsidRDefault="00173F48" w:rsidP="00F92504">
            <w:r w:rsidRPr="00C111EC">
              <w:t>Can detain person using reasonable force in place of residence or other place if considered reasonably necessary for COVID-19 pandemic or other action authorised by Tribunal</w:t>
            </w:r>
          </w:p>
        </w:tc>
      </w:tr>
      <w:tr w:rsidR="00173F48" w:rsidRPr="00C111EC" w14:paraId="29B5B8E6" w14:textId="77777777" w:rsidTr="00F92504">
        <w:tc>
          <w:tcPr>
            <w:tcW w:w="1696" w:type="dxa"/>
          </w:tcPr>
          <w:p w14:paraId="02E7FD5F" w14:textId="77777777" w:rsidR="00173F48" w:rsidRPr="00C111EC" w:rsidRDefault="00173F48" w:rsidP="00F92504">
            <w:pPr>
              <w:rPr>
                <w:b/>
                <w:bCs/>
              </w:rPr>
            </w:pPr>
            <w:r w:rsidRPr="00C111EC">
              <w:rPr>
                <w:b/>
                <w:bCs/>
              </w:rPr>
              <w:t>11</w:t>
            </w:r>
          </w:p>
        </w:tc>
        <w:tc>
          <w:tcPr>
            <w:tcW w:w="7320" w:type="dxa"/>
          </w:tcPr>
          <w:p w14:paraId="18EFDACA" w14:textId="77777777" w:rsidR="00173F48" w:rsidRPr="00C111EC" w:rsidRDefault="00173F48" w:rsidP="00F92504">
            <w:pPr>
              <w:rPr>
                <w:b/>
                <w:bCs/>
              </w:rPr>
            </w:pPr>
            <w:r w:rsidRPr="00C111EC">
              <w:rPr>
                <w:b/>
                <w:bCs/>
              </w:rPr>
              <w:t>Certain persons at prescribed premises may detain protected persons during COVID-19 pandemic</w:t>
            </w:r>
          </w:p>
          <w:p w14:paraId="44A9307B" w14:textId="77777777" w:rsidR="00173F48" w:rsidRPr="00C111EC" w:rsidRDefault="00173F48" w:rsidP="00F92504">
            <w:r w:rsidRPr="00C111EC">
              <w:t xml:space="preserve">Powers for operators or persons in charge of supported residential facilities or supported accommodation to detain protected persons for up to 48 hours for limited purposes </w:t>
            </w:r>
            <w:proofErr w:type="spellStart"/>
            <w:r w:rsidRPr="00C111EC">
              <w:t>eg</w:t>
            </w:r>
            <w:proofErr w:type="spellEnd"/>
            <w:r w:rsidRPr="00C111EC">
              <w:t xml:space="preserve"> to contact guardian or Tribunal, or for longer periods with approval from guardian or authorising officer or Tribunal</w:t>
            </w:r>
          </w:p>
        </w:tc>
      </w:tr>
      <w:tr w:rsidR="00173F48" w:rsidRPr="00C111EC" w14:paraId="4FD212F1" w14:textId="77777777" w:rsidTr="00F92504">
        <w:tc>
          <w:tcPr>
            <w:tcW w:w="1696" w:type="dxa"/>
          </w:tcPr>
          <w:p w14:paraId="3B831DB5" w14:textId="77777777" w:rsidR="00173F48" w:rsidRPr="00C111EC" w:rsidRDefault="00173F48" w:rsidP="00F92504">
            <w:pPr>
              <w:rPr>
                <w:b/>
                <w:bCs/>
              </w:rPr>
            </w:pPr>
            <w:r w:rsidRPr="00C111EC">
              <w:rPr>
                <w:b/>
                <w:bCs/>
              </w:rPr>
              <w:t>12</w:t>
            </w:r>
          </w:p>
        </w:tc>
        <w:tc>
          <w:tcPr>
            <w:tcW w:w="7320" w:type="dxa"/>
          </w:tcPr>
          <w:p w14:paraId="30176D8A" w14:textId="77777777" w:rsidR="00173F48" w:rsidRPr="00C111EC" w:rsidRDefault="00173F48" w:rsidP="00F92504">
            <w:pPr>
              <w:rPr>
                <w:b/>
                <w:bCs/>
              </w:rPr>
            </w:pPr>
            <w:r w:rsidRPr="00C111EC">
              <w:rPr>
                <w:b/>
                <w:bCs/>
              </w:rPr>
              <w:t xml:space="preserve">Authorising officer can detain protected person if no guardian </w:t>
            </w:r>
          </w:p>
          <w:p w14:paraId="0DD2173C" w14:textId="77777777" w:rsidR="00173F48" w:rsidRPr="00C111EC" w:rsidRDefault="00173F48" w:rsidP="00F92504">
            <w:r w:rsidRPr="00C111EC">
              <w:t>If satisfied that to do so is appropriate for a purpose related to the COVID-19 pandemic – can also take other action considered necessary with respect to protected person – must be in writing and in line with Guidelines</w:t>
            </w:r>
          </w:p>
        </w:tc>
      </w:tr>
      <w:tr w:rsidR="00173F48" w:rsidRPr="00C111EC" w14:paraId="0A180B04" w14:textId="77777777" w:rsidTr="00F92504">
        <w:tc>
          <w:tcPr>
            <w:tcW w:w="1696" w:type="dxa"/>
          </w:tcPr>
          <w:p w14:paraId="492D7F97" w14:textId="77777777" w:rsidR="00173F48" w:rsidRPr="00C111EC" w:rsidRDefault="00173F48" w:rsidP="00F92504">
            <w:pPr>
              <w:rPr>
                <w:b/>
                <w:bCs/>
              </w:rPr>
            </w:pPr>
            <w:r w:rsidRPr="00C111EC">
              <w:rPr>
                <w:b/>
                <w:bCs/>
              </w:rPr>
              <w:t>13</w:t>
            </w:r>
          </w:p>
        </w:tc>
        <w:tc>
          <w:tcPr>
            <w:tcW w:w="7320" w:type="dxa"/>
          </w:tcPr>
          <w:p w14:paraId="7184AE1A" w14:textId="77777777" w:rsidR="00173F48" w:rsidRPr="00C111EC" w:rsidRDefault="00173F48" w:rsidP="00F92504">
            <w:pPr>
              <w:rPr>
                <w:b/>
                <w:bCs/>
              </w:rPr>
            </w:pPr>
            <w:r w:rsidRPr="00C111EC">
              <w:rPr>
                <w:b/>
                <w:bCs/>
              </w:rPr>
              <w:t>Duration of detention not more than 28 days</w:t>
            </w:r>
          </w:p>
        </w:tc>
      </w:tr>
      <w:tr w:rsidR="00173F48" w:rsidRPr="00C111EC" w14:paraId="2CB43782" w14:textId="77777777" w:rsidTr="00F92504">
        <w:tc>
          <w:tcPr>
            <w:tcW w:w="1696" w:type="dxa"/>
          </w:tcPr>
          <w:p w14:paraId="576B5DC3" w14:textId="77777777" w:rsidR="00173F48" w:rsidRPr="00C111EC" w:rsidRDefault="00173F48" w:rsidP="00F92504">
            <w:pPr>
              <w:rPr>
                <w:b/>
                <w:bCs/>
              </w:rPr>
            </w:pPr>
            <w:r w:rsidRPr="00C111EC">
              <w:rPr>
                <w:b/>
                <w:bCs/>
              </w:rPr>
              <w:t>14</w:t>
            </w:r>
          </w:p>
        </w:tc>
        <w:tc>
          <w:tcPr>
            <w:tcW w:w="7320" w:type="dxa"/>
          </w:tcPr>
          <w:p w14:paraId="4CF8DC5A" w14:textId="77777777" w:rsidR="00173F48" w:rsidRPr="00C111EC" w:rsidRDefault="00173F48" w:rsidP="00F92504">
            <w:pPr>
              <w:rPr>
                <w:b/>
                <w:bCs/>
              </w:rPr>
            </w:pPr>
            <w:r w:rsidRPr="00C111EC">
              <w:rPr>
                <w:b/>
                <w:bCs/>
              </w:rPr>
              <w:t>Extension of detention period and other orders by Tribunal</w:t>
            </w:r>
          </w:p>
          <w:p w14:paraId="022A52B9" w14:textId="77777777" w:rsidR="00173F48" w:rsidRPr="00C111EC" w:rsidRDefault="00173F48" w:rsidP="00F92504">
            <w:r w:rsidRPr="00C111EC">
              <w:t>Can include use such force as may be reasonably necessary for the purpose of ensuring the proper medical or dental treatment, day-to-day care and wellbeing of the protected person.</w:t>
            </w:r>
          </w:p>
        </w:tc>
      </w:tr>
      <w:tr w:rsidR="00173F48" w:rsidRPr="00C111EC" w14:paraId="6E61EF8B" w14:textId="77777777" w:rsidTr="00F92504">
        <w:tc>
          <w:tcPr>
            <w:tcW w:w="1696" w:type="dxa"/>
          </w:tcPr>
          <w:p w14:paraId="18C247D4" w14:textId="77777777" w:rsidR="00173F48" w:rsidRPr="00C111EC" w:rsidRDefault="00173F48" w:rsidP="00F92504">
            <w:pPr>
              <w:rPr>
                <w:b/>
                <w:bCs/>
              </w:rPr>
            </w:pPr>
            <w:r w:rsidRPr="00C111EC">
              <w:rPr>
                <w:b/>
                <w:bCs/>
              </w:rPr>
              <w:t>15</w:t>
            </w:r>
          </w:p>
        </w:tc>
        <w:tc>
          <w:tcPr>
            <w:tcW w:w="7320" w:type="dxa"/>
          </w:tcPr>
          <w:p w14:paraId="704A5313" w14:textId="77777777" w:rsidR="00173F48" w:rsidRPr="00C111EC" w:rsidRDefault="00173F48" w:rsidP="00F92504">
            <w:pPr>
              <w:rPr>
                <w:b/>
                <w:bCs/>
              </w:rPr>
            </w:pPr>
            <w:r w:rsidRPr="00C111EC">
              <w:rPr>
                <w:b/>
                <w:bCs/>
              </w:rPr>
              <w:t>Review of detention by Authorising Officer if detention extended beyond 28 days by Tribunal order</w:t>
            </w:r>
          </w:p>
        </w:tc>
      </w:tr>
      <w:tr w:rsidR="00173F48" w:rsidRPr="00C111EC" w14:paraId="01465F7E" w14:textId="77777777" w:rsidTr="00F92504">
        <w:tc>
          <w:tcPr>
            <w:tcW w:w="1696" w:type="dxa"/>
          </w:tcPr>
          <w:p w14:paraId="3E2F9A36" w14:textId="77777777" w:rsidR="00173F48" w:rsidRPr="00C111EC" w:rsidRDefault="00173F48" w:rsidP="00F92504">
            <w:pPr>
              <w:rPr>
                <w:b/>
                <w:bCs/>
              </w:rPr>
            </w:pPr>
            <w:r w:rsidRPr="00C111EC">
              <w:rPr>
                <w:b/>
                <w:bCs/>
              </w:rPr>
              <w:lastRenderedPageBreak/>
              <w:t>16</w:t>
            </w:r>
          </w:p>
        </w:tc>
        <w:tc>
          <w:tcPr>
            <w:tcW w:w="7320" w:type="dxa"/>
          </w:tcPr>
          <w:p w14:paraId="433BE70E" w14:textId="77777777" w:rsidR="00173F48" w:rsidRPr="00C111EC" w:rsidRDefault="00173F48" w:rsidP="00F92504">
            <w:pPr>
              <w:rPr>
                <w:b/>
                <w:bCs/>
              </w:rPr>
            </w:pPr>
            <w:r w:rsidRPr="00C111EC">
              <w:rPr>
                <w:b/>
                <w:bCs/>
              </w:rPr>
              <w:t>Review by Authorising Officer on application of aggrieved person</w:t>
            </w:r>
          </w:p>
          <w:p w14:paraId="6C1BCAF7" w14:textId="77777777" w:rsidR="00173F48" w:rsidRPr="00C111EC" w:rsidRDefault="00173F48" w:rsidP="00F92504">
            <w:r w:rsidRPr="00C111EC">
              <w:t>Review under this clause in any manner that the Authorising Officer considers appropriate, and the Authorising Officer may confirm, vary or reverse the decision under review – can be subject to regs</w:t>
            </w:r>
          </w:p>
        </w:tc>
      </w:tr>
      <w:tr w:rsidR="00173F48" w:rsidRPr="00C111EC" w14:paraId="662DB48A" w14:textId="77777777" w:rsidTr="00F92504">
        <w:tc>
          <w:tcPr>
            <w:tcW w:w="1696" w:type="dxa"/>
          </w:tcPr>
          <w:p w14:paraId="03CA1EB2" w14:textId="77777777" w:rsidR="00173F48" w:rsidRPr="00C111EC" w:rsidRDefault="00173F48" w:rsidP="00F92504">
            <w:pPr>
              <w:rPr>
                <w:b/>
                <w:bCs/>
              </w:rPr>
            </w:pPr>
            <w:r w:rsidRPr="00C111EC">
              <w:rPr>
                <w:b/>
                <w:bCs/>
              </w:rPr>
              <w:t>17</w:t>
            </w:r>
          </w:p>
        </w:tc>
        <w:tc>
          <w:tcPr>
            <w:tcW w:w="7320" w:type="dxa"/>
          </w:tcPr>
          <w:p w14:paraId="7C0855CC" w14:textId="77777777" w:rsidR="00173F48" w:rsidRPr="00C111EC" w:rsidRDefault="00173F48" w:rsidP="00F92504">
            <w:r w:rsidRPr="00C111EC">
              <w:rPr>
                <w:b/>
                <w:bCs/>
              </w:rPr>
              <w:t>Review of decisions by Tribunal</w:t>
            </w:r>
          </w:p>
          <w:p w14:paraId="66D07537" w14:textId="77777777" w:rsidR="00173F48" w:rsidRPr="00C111EC" w:rsidRDefault="00173F48" w:rsidP="00F92504">
            <w:r w:rsidRPr="00C111EC">
              <w:t xml:space="preserve">Reviewable decisions = decision to detain a protected person under clause 11, a decision of the Authorising Officer under clause </w:t>
            </w:r>
            <w:proofErr w:type="gramStart"/>
            <w:r w:rsidRPr="00C111EC">
              <w:t>12;  any</w:t>
            </w:r>
            <w:proofErr w:type="gramEnd"/>
            <w:r w:rsidRPr="00C111EC">
              <w:t xml:space="preserve"> other decision of a kind prescribed by the regulation</w:t>
            </w:r>
          </w:p>
        </w:tc>
      </w:tr>
      <w:tr w:rsidR="00173F48" w:rsidRPr="00C111EC" w14:paraId="05D732BB" w14:textId="77777777" w:rsidTr="00F92504">
        <w:tc>
          <w:tcPr>
            <w:tcW w:w="1696" w:type="dxa"/>
          </w:tcPr>
          <w:p w14:paraId="0274121D" w14:textId="77777777" w:rsidR="00173F48" w:rsidRPr="00C111EC" w:rsidRDefault="00173F48" w:rsidP="00F92504">
            <w:pPr>
              <w:rPr>
                <w:b/>
                <w:bCs/>
              </w:rPr>
            </w:pPr>
            <w:r w:rsidRPr="00C111EC">
              <w:rPr>
                <w:b/>
                <w:bCs/>
              </w:rPr>
              <w:t>18</w:t>
            </w:r>
          </w:p>
        </w:tc>
        <w:tc>
          <w:tcPr>
            <w:tcW w:w="7320" w:type="dxa"/>
          </w:tcPr>
          <w:p w14:paraId="39E79F4D" w14:textId="77777777" w:rsidR="00173F48" w:rsidRPr="00C111EC" w:rsidRDefault="00173F48" w:rsidP="00F92504">
            <w:pPr>
              <w:rPr>
                <w:b/>
                <w:bCs/>
              </w:rPr>
            </w:pPr>
            <w:r w:rsidRPr="00C111EC">
              <w:rPr>
                <w:b/>
                <w:bCs/>
              </w:rPr>
              <w:t xml:space="preserve">Tribunal may give advice, </w:t>
            </w:r>
            <w:r w:rsidRPr="00C111EC">
              <w:t>direction or approval to Authorising officer, guardian or prescribed person</w:t>
            </w:r>
          </w:p>
        </w:tc>
      </w:tr>
      <w:tr w:rsidR="00173F48" w:rsidRPr="00C111EC" w14:paraId="4A02A06E" w14:textId="77777777" w:rsidTr="00F92504">
        <w:tc>
          <w:tcPr>
            <w:tcW w:w="1696" w:type="dxa"/>
          </w:tcPr>
          <w:p w14:paraId="2BC1EDAD" w14:textId="77777777" w:rsidR="00173F48" w:rsidRPr="00C111EC" w:rsidRDefault="00173F48" w:rsidP="00F92504">
            <w:pPr>
              <w:rPr>
                <w:b/>
                <w:bCs/>
              </w:rPr>
            </w:pPr>
            <w:r w:rsidRPr="00C111EC">
              <w:br w:type="page"/>
            </w:r>
            <w:r w:rsidRPr="00C111EC">
              <w:rPr>
                <w:b/>
                <w:bCs/>
              </w:rPr>
              <w:t>19</w:t>
            </w:r>
          </w:p>
        </w:tc>
        <w:tc>
          <w:tcPr>
            <w:tcW w:w="7320" w:type="dxa"/>
          </w:tcPr>
          <w:p w14:paraId="49C7D319" w14:textId="77777777" w:rsidR="00173F48" w:rsidRPr="00C111EC" w:rsidRDefault="00173F48" w:rsidP="00F92504">
            <w:pPr>
              <w:rPr>
                <w:b/>
                <w:bCs/>
              </w:rPr>
            </w:pPr>
            <w:r w:rsidRPr="00C111EC">
              <w:rPr>
                <w:b/>
                <w:bCs/>
              </w:rPr>
              <w:t>Offence to remove protected person from place of detention</w:t>
            </w:r>
          </w:p>
          <w:p w14:paraId="11FA4A57" w14:textId="77777777" w:rsidR="00173F48" w:rsidRPr="00C111EC" w:rsidRDefault="00173F48" w:rsidP="00F92504">
            <w:r w:rsidRPr="00C111EC">
              <w:t>Penalty of $10,000</w:t>
            </w:r>
          </w:p>
        </w:tc>
      </w:tr>
      <w:tr w:rsidR="00173F48" w:rsidRPr="00C111EC" w14:paraId="76E8C67B" w14:textId="77777777" w:rsidTr="00F92504">
        <w:tc>
          <w:tcPr>
            <w:tcW w:w="1696" w:type="dxa"/>
          </w:tcPr>
          <w:p w14:paraId="61D177F9" w14:textId="77777777" w:rsidR="00173F48" w:rsidRPr="00C111EC" w:rsidRDefault="00173F48" w:rsidP="00F92504">
            <w:pPr>
              <w:rPr>
                <w:b/>
                <w:bCs/>
              </w:rPr>
            </w:pPr>
            <w:r w:rsidRPr="00C111EC">
              <w:rPr>
                <w:b/>
                <w:bCs/>
              </w:rPr>
              <w:t xml:space="preserve">Regulations </w:t>
            </w:r>
          </w:p>
        </w:tc>
        <w:tc>
          <w:tcPr>
            <w:tcW w:w="7320" w:type="dxa"/>
          </w:tcPr>
          <w:p w14:paraId="3BF46765" w14:textId="77777777" w:rsidR="00173F48" w:rsidRPr="00C111EC" w:rsidRDefault="00173F48" w:rsidP="00F92504">
            <w:r w:rsidRPr="00C111EC">
              <w:rPr>
                <w:b/>
                <w:bCs/>
              </w:rPr>
              <w:t>Community Visitor Program</w:t>
            </w:r>
          </w:p>
          <w:p w14:paraId="2A2F62A9" w14:textId="77777777" w:rsidR="00173F48" w:rsidRPr="00C111EC" w:rsidRDefault="00173F48" w:rsidP="00F92504">
            <w:pPr>
              <w:rPr>
                <w:rFonts w:ascii="Verdana" w:hAnsi="Verdana"/>
                <w:color w:val="000000"/>
                <w:sz w:val="17"/>
                <w:szCs w:val="17"/>
              </w:rPr>
            </w:pPr>
            <w:r w:rsidRPr="00C111EC">
              <w:t xml:space="preserve">Details Community Visitors Program now set out in COVID-19 Emergency Response (Schedule 1) Regulations 2020 section 10. Appointment of Principal Community Visitor’ by Minister (and removal at Ministers discretion), this person can then appoint other community visitors.  Visitors have powers to conduct visits and inspections to place where protected persons are detained and to refer matters of concern to Minister or other appropriate person or body and to act as advocates for person’s detained, and to consider issues raised by </w:t>
            </w:r>
            <w:proofErr w:type="gramStart"/>
            <w:r w:rsidRPr="00C111EC">
              <w:t>guardians</w:t>
            </w:r>
            <w:proofErr w:type="gramEnd"/>
            <w:r w:rsidRPr="00C111EC">
              <w:t xml:space="preserve"> friends or carers or families of persons detained.  Fines are included for those that stop community visitors from carrying out their functions.  A visit can occur by Community Visitor’s own initiative or on request (by guardian, relative, carer or friend of such a protected person) at ‘reasonable time of day’ and with notice to those in control / owning premises where person is detained.  The Principal Community Visitor must report to the Minister on the work of the community visitors every 3 months from 30 July 2020.</w:t>
            </w:r>
          </w:p>
        </w:tc>
      </w:tr>
      <w:tr w:rsidR="00173F48" w:rsidRPr="00C111EC" w14:paraId="69D8DDBE" w14:textId="77777777" w:rsidTr="00F92504">
        <w:tc>
          <w:tcPr>
            <w:tcW w:w="1696" w:type="dxa"/>
          </w:tcPr>
          <w:p w14:paraId="5B135BC3" w14:textId="77777777" w:rsidR="00173F48" w:rsidRPr="00C111EC" w:rsidRDefault="00173F48" w:rsidP="00F92504">
            <w:pPr>
              <w:rPr>
                <w:b/>
                <w:bCs/>
              </w:rPr>
            </w:pPr>
            <w:r w:rsidRPr="00C111EC">
              <w:br w:type="page"/>
            </w:r>
            <w:r w:rsidRPr="00C111EC">
              <w:rPr>
                <w:b/>
                <w:bCs/>
              </w:rPr>
              <w:t>Schedule 2</w:t>
            </w:r>
          </w:p>
        </w:tc>
        <w:tc>
          <w:tcPr>
            <w:tcW w:w="7320" w:type="dxa"/>
          </w:tcPr>
          <w:p w14:paraId="10B42414" w14:textId="77777777" w:rsidR="00173F48" w:rsidRPr="00C111EC" w:rsidRDefault="00173F48" w:rsidP="00F92504">
            <w:pPr>
              <w:rPr>
                <w:b/>
                <w:bCs/>
              </w:rPr>
            </w:pPr>
            <w:r w:rsidRPr="00C111EC">
              <w:rPr>
                <w:b/>
                <w:bCs/>
              </w:rPr>
              <w:t>Temporary modification of particular State laws</w:t>
            </w:r>
          </w:p>
        </w:tc>
      </w:tr>
      <w:tr w:rsidR="00173F48" w:rsidRPr="00C111EC" w14:paraId="077A1424" w14:textId="77777777" w:rsidTr="00F92504">
        <w:tc>
          <w:tcPr>
            <w:tcW w:w="1696" w:type="dxa"/>
          </w:tcPr>
          <w:p w14:paraId="3FBFB0FE" w14:textId="77777777" w:rsidR="00173F48" w:rsidRPr="00C111EC" w:rsidRDefault="00173F48" w:rsidP="00F92504">
            <w:pPr>
              <w:rPr>
                <w:b/>
                <w:bCs/>
              </w:rPr>
            </w:pPr>
            <w:r w:rsidRPr="00C111EC">
              <w:rPr>
                <w:b/>
                <w:bCs/>
              </w:rPr>
              <w:t>1</w:t>
            </w:r>
          </w:p>
        </w:tc>
        <w:tc>
          <w:tcPr>
            <w:tcW w:w="7320" w:type="dxa"/>
          </w:tcPr>
          <w:p w14:paraId="37F5DA7D" w14:textId="77777777" w:rsidR="00173F48" w:rsidRPr="00C111EC" w:rsidRDefault="00173F48" w:rsidP="00F92504">
            <w:pPr>
              <w:rPr>
                <w:b/>
                <w:bCs/>
              </w:rPr>
            </w:pPr>
            <w:r w:rsidRPr="00C111EC">
              <w:rPr>
                <w:b/>
                <w:bCs/>
              </w:rPr>
              <w:t xml:space="preserve">Broadening scope of powers of State Co-ordinator and authorised officers </w:t>
            </w:r>
            <w:r w:rsidRPr="00C111EC">
              <w:t xml:space="preserve">Under the </w:t>
            </w:r>
            <w:r w:rsidRPr="00C111EC">
              <w:rPr>
                <w:i/>
                <w:iCs/>
              </w:rPr>
              <w:t>Emergency Management Act 2004</w:t>
            </w:r>
            <w:r w:rsidRPr="00C111EC">
              <w:t xml:space="preserve"> to include:</w:t>
            </w:r>
          </w:p>
          <w:p w14:paraId="6DCBBB8F" w14:textId="77777777" w:rsidR="00173F48" w:rsidRPr="00C111EC" w:rsidRDefault="00173F48" w:rsidP="00F92504">
            <w:r w:rsidRPr="00C111EC">
              <w:t xml:space="preserve">giving a direction or make a requirement in response to a health emergency that applies to persons generally throughout the State.  </w:t>
            </w:r>
          </w:p>
          <w:p w14:paraId="3BE74819" w14:textId="77777777" w:rsidR="00173F48" w:rsidRPr="00C111EC" w:rsidRDefault="00173F48" w:rsidP="00F92504">
            <w:r w:rsidRPr="00C111EC">
              <w:rPr>
                <w:b/>
                <w:bCs/>
              </w:rPr>
              <w:t>may exercise or discharge a power or function under this section even if to do so would contravene another law of the State</w:t>
            </w:r>
            <w:r w:rsidRPr="00C111EC">
              <w:t xml:space="preserve">; </w:t>
            </w:r>
          </w:p>
          <w:p w14:paraId="32C5B755" w14:textId="77777777" w:rsidR="00173F48" w:rsidRPr="00C111EC" w:rsidRDefault="00173F48" w:rsidP="00F92504">
            <w:r w:rsidRPr="00C111EC">
              <w:rPr>
                <w:b/>
                <w:bCs/>
              </w:rPr>
              <w:t>may use such force as is reasonably necessary</w:t>
            </w:r>
            <w:r w:rsidRPr="00C111EC">
              <w:t xml:space="preserve"> in the exercise or discharge of a power or function under this section or in ensuring compliance with a direction or requirement </w:t>
            </w:r>
          </w:p>
          <w:p w14:paraId="6616FFF5" w14:textId="77777777" w:rsidR="00173F48" w:rsidRPr="00C111EC" w:rsidRDefault="00173F48" w:rsidP="00F92504">
            <w:pPr>
              <w:rPr>
                <w:b/>
                <w:bCs/>
              </w:rPr>
            </w:pPr>
            <w:r w:rsidRPr="00C111EC">
              <w:rPr>
                <w:b/>
                <w:bCs/>
              </w:rPr>
              <w:t>Directions can be in writing or via email or SMS or orally</w:t>
            </w:r>
          </w:p>
          <w:p w14:paraId="1B66502B" w14:textId="77777777" w:rsidR="00173F48" w:rsidRPr="00C111EC" w:rsidRDefault="00173F48" w:rsidP="00F92504">
            <w:r w:rsidRPr="00C111EC">
              <w:t>Must consult with Chief Medical Officer if in relation to health care</w:t>
            </w:r>
          </w:p>
          <w:p w14:paraId="3F1E4641" w14:textId="77777777" w:rsidR="00173F48" w:rsidRPr="00C111EC" w:rsidRDefault="00173F48" w:rsidP="00F92504">
            <w:r w:rsidRPr="00C111EC">
              <w:t>Can enforce penalties of up to $1000</w:t>
            </w:r>
          </w:p>
        </w:tc>
      </w:tr>
      <w:tr w:rsidR="00173F48" w:rsidRPr="00C111EC" w14:paraId="2ECC3299" w14:textId="77777777" w:rsidTr="00F92504">
        <w:tc>
          <w:tcPr>
            <w:tcW w:w="1696" w:type="dxa"/>
          </w:tcPr>
          <w:p w14:paraId="71636B76" w14:textId="77777777" w:rsidR="00173F48" w:rsidRPr="00C111EC" w:rsidRDefault="00173F48" w:rsidP="00F92504">
            <w:pPr>
              <w:rPr>
                <w:b/>
                <w:bCs/>
              </w:rPr>
            </w:pPr>
            <w:r w:rsidRPr="00C111EC">
              <w:rPr>
                <w:b/>
                <w:bCs/>
              </w:rPr>
              <w:t>5</w:t>
            </w:r>
          </w:p>
        </w:tc>
        <w:tc>
          <w:tcPr>
            <w:tcW w:w="7320" w:type="dxa"/>
          </w:tcPr>
          <w:p w14:paraId="0E1E8B86" w14:textId="77777777" w:rsidR="00173F48" w:rsidRPr="00C111EC" w:rsidRDefault="00173F48" w:rsidP="00F92504">
            <w:pPr>
              <w:rPr>
                <w:b/>
                <w:bCs/>
              </w:rPr>
            </w:pPr>
            <w:r w:rsidRPr="00C111EC">
              <w:rPr>
                <w:b/>
                <w:bCs/>
              </w:rPr>
              <w:t>Broadening scope of detention powers under South Australian Public Health Act 2011</w:t>
            </w:r>
          </w:p>
          <w:p w14:paraId="44DB5EAF" w14:textId="77777777" w:rsidR="00173F48" w:rsidRPr="00C111EC" w:rsidRDefault="00173F48" w:rsidP="00F92504">
            <w:r w:rsidRPr="00C111EC">
              <w:t xml:space="preserve">For the purposes of giving effect to a detention order made under s77 of the Public Health Act, the Chief Public Health Officer or an authorised person can apprehend and take the person to a place of detention; and  restrain the person and otherwise use force and   be assisted by such persons as may be necessary or desirable in the circumstances.  </w:t>
            </w:r>
            <w:r w:rsidRPr="00C111EC">
              <w:lastRenderedPageBreak/>
              <w:t xml:space="preserve">“Authorised persons” = police and anyone else appointed by the Chief Public Health Officer </w:t>
            </w:r>
          </w:p>
        </w:tc>
      </w:tr>
    </w:tbl>
    <w:p w14:paraId="6ABDD4F2" w14:textId="5D36A91F" w:rsidR="00173F48" w:rsidRDefault="00173F48" w:rsidP="00173F48"/>
    <w:p w14:paraId="7A9CDE2A" w14:textId="77777777" w:rsidR="00173F48" w:rsidRPr="00C111EC" w:rsidRDefault="00173F48" w:rsidP="00173F48">
      <w:pPr>
        <w:rPr>
          <w:b/>
          <w:bCs/>
        </w:rPr>
      </w:pPr>
      <w:r w:rsidRPr="00C111EC">
        <w:rPr>
          <w:b/>
          <w:bCs/>
        </w:rPr>
        <w:t>List of Regulations as at 24 April 2020</w:t>
      </w:r>
    </w:p>
    <w:p w14:paraId="6F03EE16" w14:textId="77777777" w:rsidR="00173F48" w:rsidRPr="00173F48" w:rsidRDefault="00173F48" w:rsidP="00173F48">
      <w:pPr>
        <w:pStyle w:val="ListParagraph"/>
        <w:numPr>
          <w:ilvl w:val="0"/>
          <w:numId w:val="26"/>
        </w:numPr>
        <w:spacing w:before="100" w:beforeAutospacing="1" w:after="120"/>
        <w:rPr>
          <w:rFonts w:asciiTheme="minorHAnsi" w:hAnsiTheme="minorHAnsi" w:cstheme="minorHAnsi"/>
        </w:rPr>
      </w:pPr>
      <w:hyperlink r:id="rId10" w:tooltip="Link to COVID-19 Emergency Response (Commercial Leases) Regulations 2020" w:history="1">
        <w:r w:rsidRPr="00173F48">
          <w:rPr>
            <w:rFonts w:asciiTheme="minorHAnsi" w:hAnsiTheme="minorHAnsi" w:cstheme="minorHAnsi"/>
            <w:color w:val="004689"/>
            <w:u w:val="single"/>
          </w:rPr>
          <w:t>COVID-19 Emergency Response (Commercial Leases) Regulations 2020</w:t>
        </w:r>
      </w:hyperlink>
      <w:r w:rsidRPr="00173F48">
        <w:rPr>
          <w:rFonts w:asciiTheme="minorHAnsi" w:hAnsiTheme="minorHAnsi" w:cstheme="minorHAnsi"/>
          <w:color w:val="004689"/>
          <w:u w:val="single"/>
        </w:rPr>
        <w:t xml:space="preserve"> </w:t>
      </w:r>
      <w:r w:rsidRPr="00173F48">
        <w:rPr>
          <w:rFonts w:asciiTheme="minorHAnsi" w:hAnsiTheme="minorHAnsi" w:cstheme="minorHAnsi"/>
        </w:rPr>
        <w:t>(defines ‘financial hardship’ in context of commer</w:t>
      </w:r>
      <w:bookmarkStart w:id="0" w:name="_GoBack"/>
      <w:bookmarkEnd w:id="0"/>
      <w:r w:rsidRPr="00173F48">
        <w:rPr>
          <w:rFonts w:asciiTheme="minorHAnsi" w:hAnsiTheme="minorHAnsi" w:cstheme="minorHAnsi"/>
        </w:rPr>
        <w:t>cial leases changes – noted above)</w:t>
      </w:r>
    </w:p>
    <w:p w14:paraId="04D1B383" w14:textId="77777777" w:rsidR="00173F48" w:rsidRPr="00173F48" w:rsidRDefault="00173F48" w:rsidP="00173F48">
      <w:pPr>
        <w:pStyle w:val="ListParagraph"/>
        <w:numPr>
          <w:ilvl w:val="0"/>
          <w:numId w:val="26"/>
        </w:numPr>
        <w:spacing w:before="100" w:beforeAutospacing="1" w:after="120"/>
        <w:rPr>
          <w:rFonts w:asciiTheme="minorHAnsi" w:hAnsiTheme="minorHAnsi" w:cstheme="minorHAnsi"/>
        </w:rPr>
      </w:pPr>
      <w:hyperlink r:id="rId11" w:tooltip="Link to COVID-19 Emergency Response (Schedule 1) Regulations 2020" w:history="1">
        <w:r w:rsidRPr="00173F48">
          <w:rPr>
            <w:rFonts w:asciiTheme="minorHAnsi" w:hAnsiTheme="minorHAnsi" w:cstheme="minorHAnsi"/>
            <w:color w:val="004689"/>
            <w:u w:val="single"/>
          </w:rPr>
          <w:t>COVID-19 Emergency Response (Schedule 1) Regulations 2020</w:t>
        </w:r>
      </w:hyperlink>
      <w:r w:rsidRPr="00173F48">
        <w:rPr>
          <w:rFonts w:asciiTheme="minorHAnsi" w:hAnsiTheme="minorHAnsi" w:cstheme="minorHAnsi"/>
        </w:rPr>
        <w:t xml:space="preserve"> (establishes Community Visitor scheme for protected persons detained pursuant to Schedule 1)</w:t>
      </w:r>
    </w:p>
    <w:p w14:paraId="7BE06341" w14:textId="77777777" w:rsidR="00173F48" w:rsidRPr="00173F48" w:rsidRDefault="00173F48" w:rsidP="00173F48">
      <w:pPr>
        <w:pStyle w:val="ListParagraph"/>
        <w:numPr>
          <w:ilvl w:val="0"/>
          <w:numId w:val="26"/>
        </w:numPr>
        <w:spacing w:before="100" w:beforeAutospacing="1" w:after="120"/>
        <w:rPr>
          <w:rFonts w:asciiTheme="minorHAnsi" w:hAnsiTheme="minorHAnsi" w:cstheme="minorHAnsi"/>
          <w:color w:val="000000"/>
        </w:rPr>
      </w:pPr>
      <w:hyperlink r:id="rId12" w:tooltip="Link to COVID-19 Emergency Response (Section 16) Regulations 2020" w:history="1">
        <w:r w:rsidRPr="00173F48">
          <w:rPr>
            <w:rFonts w:asciiTheme="minorHAnsi" w:hAnsiTheme="minorHAnsi" w:cstheme="minorHAnsi"/>
            <w:color w:val="004689"/>
            <w:u w:val="single"/>
          </w:rPr>
          <w:t>COVID-19 Emergency Response (Section 16) Regulations 2020</w:t>
        </w:r>
      </w:hyperlink>
      <w:r w:rsidRPr="00173F48">
        <w:rPr>
          <w:rFonts w:asciiTheme="minorHAnsi" w:hAnsiTheme="minorHAnsi" w:cstheme="minorHAnsi"/>
          <w:color w:val="000000"/>
        </w:rPr>
        <w:t xml:space="preserve"> (concerning statutory declarations</w:t>
      </w:r>
    </w:p>
    <w:p w14:paraId="6A4CBD6E" w14:textId="77777777" w:rsidR="00173F48" w:rsidRPr="00173F48" w:rsidRDefault="00173F48" w:rsidP="00173F48">
      <w:pPr>
        <w:pStyle w:val="ListParagraph"/>
        <w:numPr>
          <w:ilvl w:val="0"/>
          <w:numId w:val="26"/>
        </w:numPr>
        <w:spacing w:before="100" w:beforeAutospacing="1" w:after="120"/>
        <w:rPr>
          <w:rFonts w:asciiTheme="minorHAnsi" w:hAnsiTheme="minorHAnsi" w:cstheme="minorHAnsi"/>
          <w:color w:val="000000"/>
        </w:rPr>
      </w:pPr>
      <w:hyperlink r:id="rId13" w:tooltip="Link to COVID-19 Emergency Response (Section 17) Regulations 2020" w:history="1">
        <w:r w:rsidRPr="00173F48">
          <w:rPr>
            <w:rFonts w:asciiTheme="minorHAnsi" w:hAnsiTheme="minorHAnsi" w:cstheme="minorHAnsi"/>
            <w:color w:val="004689"/>
            <w:u w:val="single"/>
          </w:rPr>
          <w:t>COVID-19 Emergency Response (Section 17) Regulations 2020</w:t>
        </w:r>
      </w:hyperlink>
      <w:r w:rsidRPr="00173F48">
        <w:rPr>
          <w:rFonts w:asciiTheme="minorHAnsi" w:hAnsiTheme="minorHAnsi" w:cstheme="minorHAnsi"/>
          <w:color w:val="004689"/>
          <w:u w:val="single"/>
        </w:rPr>
        <w:t xml:space="preserve"> </w:t>
      </w:r>
      <w:r w:rsidRPr="00173F48">
        <w:rPr>
          <w:rFonts w:asciiTheme="minorHAnsi" w:hAnsiTheme="minorHAnsi" w:cstheme="minorHAnsi"/>
          <w:color w:val="000000"/>
        </w:rPr>
        <w:t xml:space="preserve"> (concerning witnessing documents)</w:t>
      </w:r>
    </w:p>
    <w:p w14:paraId="1D0C18E1" w14:textId="77777777" w:rsidR="00173F48" w:rsidRPr="00C111EC" w:rsidRDefault="00173F48" w:rsidP="00173F48">
      <w:pPr>
        <w:rPr>
          <w:b/>
          <w:bCs/>
        </w:rPr>
      </w:pPr>
    </w:p>
    <w:p w14:paraId="74232323" w14:textId="77777777" w:rsidR="00173F48" w:rsidRPr="00C111EC" w:rsidRDefault="00173F48" w:rsidP="00173F48">
      <w:pPr>
        <w:rPr>
          <w:b/>
          <w:bCs/>
        </w:rPr>
      </w:pPr>
    </w:p>
    <w:p w14:paraId="0307E6C9" w14:textId="77777777" w:rsidR="00173F48" w:rsidRPr="00C111EC" w:rsidRDefault="00173F48" w:rsidP="00173F48">
      <w:pPr>
        <w:rPr>
          <w:b/>
          <w:bCs/>
        </w:rPr>
      </w:pPr>
      <w:r w:rsidRPr="00C111EC">
        <w:rPr>
          <w:b/>
          <w:bCs/>
        </w:rPr>
        <w:t>List of Declarations as at 24 April 2020</w:t>
      </w:r>
    </w:p>
    <w:p w14:paraId="612D643D" w14:textId="77777777" w:rsidR="00173F48" w:rsidRPr="00C111EC" w:rsidRDefault="00173F48" w:rsidP="00173F48"/>
    <w:tbl>
      <w:tblPr>
        <w:tblW w:w="0" w:type="auto"/>
        <w:tblCellSpacing w:w="15" w:type="dxa"/>
        <w:tblBorders>
          <w:top w:val="single" w:sz="6" w:space="0" w:color="BCCFE1"/>
          <w:left w:val="single" w:sz="6" w:space="0" w:color="BCCFE1"/>
          <w:bottom w:val="single" w:sz="6" w:space="0" w:color="BCCFE1"/>
          <w:right w:val="single" w:sz="6" w:space="0" w:color="BCCFE1"/>
        </w:tblBorders>
        <w:tblCellMar>
          <w:top w:w="15" w:type="dxa"/>
          <w:left w:w="15" w:type="dxa"/>
          <w:bottom w:w="15" w:type="dxa"/>
          <w:right w:w="15" w:type="dxa"/>
        </w:tblCellMar>
        <w:tblLook w:val="04A0" w:firstRow="1" w:lastRow="0" w:firstColumn="1" w:lastColumn="0" w:noHBand="0" w:noVBand="1"/>
        <w:tblDescription w:val="Declarations and Directions made under the Emergency Management Act 2004"/>
      </w:tblPr>
      <w:tblGrid>
        <w:gridCol w:w="1064"/>
        <w:gridCol w:w="66"/>
        <w:gridCol w:w="7784"/>
        <w:gridCol w:w="96"/>
      </w:tblGrid>
      <w:tr w:rsidR="00173F48" w:rsidRPr="00C111EC" w14:paraId="150ACE27" w14:textId="77777777" w:rsidTr="00F92504">
        <w:trPr>
          <w:tblCellSpacing w:w="15" w:type="dxa"/>
        </w:trPr>
        <w:tc>
          <w:tcPr>
            <w:tcW w:w="0" w:type="auto"/>
            <w:vAlign w:val="center"/>
            <w:hideMark/>
          </w:tcPr>
          <w:p w14:paraId="256B7359" w14:textId="77777777" w:rsidR="00173F48" w:rsidRPr="00C111EC" w:rsidRDefault="00173F48" w:rsidP="00F92504">
            <w:r w:rsidRPr="00C111EC">
              <w:t>23/3/2020</w:t>
            </w:r>
          </w:p>
        </w:tc>
        <w:tc>
          <w:tcPr>
            <w:tcW w:w="0" w:type="auto"/>
            <w:vAlign w:val="center"/>
            <w:hideMark/>
          </w:tcPr>
          <w:p w14:paraId="2634D920" w14:textId="77777777" w:rsidR="00173F48" w:rsidRPr="00C111EC" w:rsidRDefault="00173F48" w:rsidP="00F92504"/>
        </w:tc>
        <w:tc>
          <w:tcPr>
            <w:tcW w:w="0" w:type="auto"/>
            <w:vAlign w:val="center"/>
            <w:hideMark/>
          </w:tcPr>
          <w:p w14:paraId="547A7884" w14:textId="77777777" w:rsidR="00173F48" w:rsidRPr="00C111EC" w:rsidRDefault="00173F48" w:rsidP="00F92504">
            <w:r w:rsidRPr="00C111EC">
              <w:t>Declaration of Major Emergency</w:t>
            </w:r>
          </w:p>
        </w:tc>
        <w:tc>
          <w:tcPr>
            <w:tcW w:w="0" w:type="auto"/>
            <w:vAlign w:val="center"/>
            <w:hideMark/>
          </w:tcPr>
          <w:p w14:paraId="796E3C43" w14:textId="77777777" w:rsidR="00173F48" w:rsidRPr="00C111EC" w:rsidRDefault="00173F48" w:rsidP="00F92504"/>
        </w:tc>
      </w:tr>
      <w:tr w:rsidR="00173F48" w:rsidRPr="00C111EC" w14:paraId="45503989" w14:textId="77777777" w:rsidTr="00F92504">
        <w:trPr>
          <w:tblCellSpacing w:w="15" w:type="dxa"/>
        </w:trPr>
        <w:tc>
          <w:tcPr>
            <w:tcW w:w="0" w:type="auto"/>
            <w:shd w:val="clear" w:color="auto" w:fill="F6F6FF"/>
            <w:vAlign w:val="center"/>
            <w:hideMark/>
          </w:tcPr>
          <w:p w14:paraId="5A9372BA" w14:textId="77777777" w:rsidR="00173F48" w:rsidRPr="00C111EC" w:rsidRDefault="00173F48" w:rsidP="00F92504">
            <w:r w:rsidRPr="00C111EC">
              <w:t>2/4/2020</w:t>
            </w:r>
          </w:p>
        </w:tc>
        <w:tc>
          <w:tcPr>
            <w:tcW w:w="0" w:type="auto"/>
            <w:shd w:val="clear" w:color="auto" w:fill="F6F6FF"/>
            <w:vAlign w:val="center"/>
            <w:hideMark/>
          </w:tcPr>
          <w:p w14:paraId="65A52B20" w14:textId="77777777" w:rsidR="00173F48" w:rsidRPr="00C111EC" w:rsidRDefault="00173F48" w:rsidP="00F92504"/>
        </w:tc>
        <w:tc>
          <w:tcPr>
            <w:tcW w:w="0" w:type="auto"/>
            <w:shd w:val="clear" w:color="auto" w:fill="F6F6FF"/>
            <w:vAlign w:val="center"/>
            <w:hideMark/>
          </w:tcPr>
          <w:p w14:paraId="0C745780" w14:textId="77777777" w:rsidR="00173F48" w:rsidRPr="00C111EC" w:rsidRDefault="00173F48" w:rsidP="00F92504">
            <w:r w:rsidRPr="00C111EC">
              <w:t>Extension of Major Emergency Declaration</w:t>
            </w:r>
          </w:p>
        </w:tc>
        <w:tc>
          <w:tcPr>
            <w:tcW w:w="0" w:type="auto"/>
            <w:shd w:val="clear" w:color="auto" w:fill="F6F6FF"/>
            <w:vAlign w:val="center"/>
            <w:hideMark/>
          </w:tcPr>
          <w:p w14:paraId="664D7A0D" w14:textId="77777777" w:rsidR="00173F48" w:rsidRPr="00C111EC" w:rsidRDefault="00173F48" w:rsidP="00F92504"/>
        </w:tc>
      </w:tr>
      <w:tr w:rsidR="00173F48" w:rsidRPr="00C111EC" w14:paraId="04A816A4" w14:textId="77777777" w:rsidTr="00F92504">
        <w:trPr>
          <w:tblCellSpacing w:w="15" w:type="dxa"/>
        </w:trPr>
        <w:tc>
          <w:tcPr>
            <w:tcW w:w="0" w:type="auto"/>
            <w:vAlign w:val="center"/>
            <w:hideMark/>
          </w:tcPr>
          <w:p w14:paraId="31BC1D6E" w14:textId="77777777" w:rsidR="00173F48" w:rsidRPr="00C111EC" w:rsidRDefault="00173F48" w:rsidP="00F92504">
            <w:r w:rsidRPr="00C111EC">
              <w:t>22/3/2020</w:t>
            </w:r>
          </w:p>
        </w:tc>
        <w:tc>
          <w:tcPr>
            <w:tcW w:w="0" w:type="auto"/>
            <w:vAlign w:val="center"/>
            <w:hideMark/>
          </w:tcPr>
          <w:p w14:paraId="18C1C494" w14:textId="77777777" w:rsidR="00173F48" w:rsidRPr="00C111EC" w:rsidRDefault="00173F48" w:rsidP="00F92504"/>
        </w:tc>
        <w:tc>
          <w:tcPr>
            <w:tcW w:w="0" w:type="auto"/>
            <w:vAlign w:val="center"/>
            <w:hideMark/>
          </w:tcPr>
          <w:p w14:paraId="5C9F1D68" w14:textId="77777777" w:rsidR="00173F48" w:rsidRPr="00C111EC" w:rsidRDefault="00173F48" w:rsidP="00F92504">
            <w:r w:rsidRPr="00C111EC">
              <w:t>Appointment of Assistant State Co-Ordinator</w:t>
            </w:r>
          </w:p>
        </w:tc>
        <w:tc>
          <w:tcPr>
            <w:tcW w:w="0" w:type="auto"/>
            <w:vAlign w:val="center"/>
            <w:hideMark/>
          </w:tcPr>
          <w:p w14:paraId="5F380F19" w14:textId="77777777" w:rsidR="00173F48" w:rsidRPr="00C111EC" w:rsidRDefault="00173F48" w:rsidP="00F92504"/>
        </w:tc>
      </w:tr>
      <w:tr w:rsidR="00173F48" w:rsidRPr="00C111EC" w14:paraId="0D37AE43" w14:textId="77777777" w:rsidTr="00F92504">
        <w:trPr>
          <w:tblCellSpacing w:w="15" w:type="dxa"/>
        </w:trPr>
        <w:tc>
          <w:tcPr>
            <w:tcW w:w="0" w:type="auto"/>
            <w:shd w:val="clear" w:color="auto" w:fill="F6F6FF"/>
            <w:vAlign w:val="center"/>
            <w:hideMark/>
          </w:tcPr>
          <w:p w14:paraId="3F793BEA" w14:textId="77777777" w:rsidR="00173F48" w:rsidRPr="00C111EC" w:rsidRDefault="00173F48" w:rsidP="00F92504">
            <w:r w:rsidRPr="00C111EC">
              <w:t>28/3/2020</w:t>
            </w:r>
          </w:p>
        </w:tc>
        <w:tc>
          <w:tcPr>
            <w:tcW w:w="0" w:type="auto"/>
            <w:shd w:val="clear" w:color="auto" w:fill="F6F6FF"/>
            <w:vAlign w:val="center"/>
            <w:hideMark/>
          </w:tcPr>
          <w:p w14:paraId="28FC4B8A" w14:textId="77777777" w:rsidR="00173F48" w:rsidRPr="00C111EC" w:rsidRDefault="00173F48" w:rsidP="00F92504"/>
        </w:tc>
        <w:tc>
          <w:tcPr>
            <w:tcW w:w="0" w:type="auto"/>
            <w:shd w:val="clear" w:color="auto" w:fill="F6F6FF"/>
            <w:vAlign w:val="center"/>
            <w:hideMark/>
          </w:tcPr>
          <w:p w14:paraId="71EAA434" w14:textId="77777777" w:rsidR="00173F48" w:rsidRPr="00C111EC" w:rsidRDefault="00173F48" w:rsidP="00F92504">
            <w:r w:rsidRPr="00C111EC">
              <w:t>Emergency Management (Continuation of Overseas Travel Self-</w:t>
            </w:r>
            <w:proofErr w:type="gramStart"/>
            <w:r w:rsidRPr="00C111EC">
              <w:t>Quarantine)(</w:t>
            </w:r>
            <w:proofErr w:type="gramEnd"/>
            <w:r w:rsidRPr="00C111EC">
              <w:t>COVID-19) Direction 2020</w:t>
            </w:r>
          </w:p>
        </w:tc>
        <w:tc>
          <w:tcPr>
            <w:tcW w:w="0" w:type="auto"/>
            <w:shd w:val="clear" w:color="auto" w:fill="F6F6FF"/>
            <w:vAlign w:val="center"/>
            <w:hideMark/>
          </w:tcPr>
          <w:p w14:paraId="51AA4C23" w14:textId="77777777" w:rsidR="00173F48" w:rsidRPr="00C111EC" w:rsidRDefault="00173F48" w:rsidP="00F92504"/>
        </w:tc>
      </w:tr>
      <w:tr w:rsidR="00173F48" w:rsidRPr="00C111EC" w14:paraId="077C7054" w14:textId="77777777" w:rsidTr="00F92504">
        <w:trPr>
          <w:tblCellSpacing w:w="15" w:type="dxa"/>
        </w:trPr>
        <w:tc>
          <w:tcPr>
            <w:tcW w:w="0" w:type="auto"/>
            <w:vAlign w:val="center"/>
            <w:hideMark/>
          </w:tcPr>
          <w:p w14:paraId="2C25081F" w14:textId="77777777" w:rsidR="00173F48" w:rsidRPr="00C111EC" w:rsidRDefault="00173F48" w:rsidP="00F92504">
            <w:r w:rsidRPr="00C111EC">
              <w:t>28/3/2020</w:t>
            </w:r>
          </w:p>
        </w:tc>
        <w:tc>
          <w:tcPr>
            <w:tcW w:w="0" w:type="auto"/>
            <w:vAlign w:val="center"/>
            <w:hideMark/>
          </w:tcPr>
          <w:p w14:paraId="23B5678D" w14:textId="77777777" w:rsidR="00173F48" w:rsidRPr="00C111EC" w:rsidRDefault="00173F48" w:rsidP="00F92504"/>
        </w:tc>
        <w:tc>
          <w:tcPr>
            <w:tcW w:w="0" w:type="auto"/>
            <w:vAlign w:val="center"/>
            <w:hideMark/>
          </w:tcPr>
          <w:p w14:paraId="01526158" w14:textId="77777777" w:rsidR="00173F48" w:rsidRPr="00C111EC" w:rsidRDefault="00173F48" w:rsidP="00F92504">
            <w:r w:rsidRPr="00C111EC">
              <w:t>Emergency Management (COVID-</w:t>
            </w:r>
            <w:proofErr w:type="gramStart"/>
            <w:r w:rsidRPr="00C111EC">
              <w:t>19)(</w:t>
            </w:r>
            <w:proofErr w:type="gramEnd"/>
            <w:r w:rsidRPr="00C111EC">
              <w:t>Isolation Following Diagnosis or Close Contact) Direction 2020</w:t>
            </w:r>
          </w:p>
        </w:tc>
        <w:tc>
          <w:tcPr>
            <w:tcW w:w="0" w:type="auto"/>
            <w:vAlign w:val="center"/>
            <w:hideMark/>
          </w:tcPr>
          <w:p w14:paraId="506D2DA2" w14:textId="77777777" w:rsidR="00173F48" w:rsidRPr="00C111EC" w:rsidRDefault="00173F48" w:rsidP="00F92504"/>
        </w:tc>
      </w:tr>
      <w:tr w:rsidR="00173F48" w:rsidRPr="00C111EC" w14:paraId="7876A604" w14:textId="77777777" w:rsidTr="00F92504">
        <w:trPr>
          <w:tblCellSpacing w:w="15" w:type="dxa"/>
        </w:trPr>
        <w:tc>
          <w:tcPr>
            <w:tcW w:w="0" w:type="auto"/>
            <w:shd w:val="clear" w:color="auto" w:fill="F6F6FF"/>
            <w:vAlign w:val="center"/>
            <w:hideMark/>
          </w:tcPr>
          <w:p w14:paraId="4BEE089A" w14:textId="77777777" w:rsidR="00173F48" w:rsidRPr="00C111EC" w:rsidRDefault="00173F48" w:rsidP="00F92504">
            <w:r w:rsidRPr="00C111EC">
              <w:t>2/4/2020</w:t>
            </w:r>
          </w:p>
        </w:tc>
        <w:tc>
          <w:tcPr>
            <w:tcW w:w="0" w:type="auto"/>
            <w:shd w:val="clear" w:color="auto" w:fill="F6F6FF"/>
            <w:vAlign w:val="center"/>
            <w:hideMark/>
          </w:tcPr>
          <w:p w14:paraId="05CCDDBB" w14:textId="77777777" w:rsidR="00173F48" w:rsidRPr="00C111EC" w:rsidRDefault="00173F48" w:rsidP="00F92504"/>
        </w:tc>
        <w:tc>
          <w:tcPr>
            <w:tcW w:w="0" w:type="auto"/>
            <w:shd w:val="clear" w:color="auto" w:fill="F6F6FF"/>
            <w:vAlign w:val="center"/>
            <w:hideMark/>
          </w:tcPr>
          <w:p w14:paraId="1F6303FC" w14:textId="77777777" w:rsidR="00173F48" w:rsidRPr="00C111EC" w:rsidRDefault="00173F48" w:rsidP="00F92504">
            <w:r w:rsidRPr="00C111EC">
              <w:t>Emergency Management (Prohibition of Point of Care Serology Tests) (COVID-19) Direction 2020</w:t>
            </w:r>
          </w:p>
        </w:tc>
        <w:tc>
          <w:tcPr>
            <w:tcW w:w="0" w:type="auto"/>
            <w:shd w:val="clear" w:color="auto" w:fill="F6F6FF"/>
            <w:vAlign w:val="center"/>
            <w:hideMark/>
          </w:tcPr>
          <w:p w14:paraId="349CA51A" w14:textId="77777777" w:rsidR="00173F48" w:rsidRPr="00C111EC" w:rsidRDefault="00173F48" w:rsidP="00F92504"/>
        </w:tc>
      </w:tr>
      <w:tr w:rsidR="00173F48" w:rsidRPr="00C111EC" w14:paraId="1A2C905F" w14:textId="77777777" w:rsidTr="00F92504">
        <w:trPr>
          <w:tblCellSpacing w:w="15" w:type="dxa"/>
        </w:trPr>
        <w:tc>
          <w:tcPr>
            <w:tcW w:w="0" w:type="auto"/>
            <w:shd w:val="clear" w:color="auto" w:fill="auto"/>
            <w:vAlign w:val="center"/>
            <w:hideMark/>
          </w:tcPr>
          <w:p w14:paraId="7ACBE3E8" w14:textId="77777777" w:rsidR="00173F48" w:rsidRPr="00C111EC" w:rsidRDefault="00173F48" w:rsidP="00F92504">
            <w:r w:rsidRPr="00C111EC">
              <w:t>3/4/2020</w:t>
            </w:r>
          </w:p>
        </w:tc>
        <w:tc>
          <w:tcPr>
            <w:tcW w:w="0" w:type="auto"/>
            <w:shd w:val="clear" w:color="auto" w:fill="auto"/>
            <w:vAlign w:val="center"/>
            <w:hideMark/>
          </w:tcPr>
          <w:p w14:paraId="7AF3303E" w14:textId="77777777" w:rsidR="00173F48" w:rsidRPr="00C111EC" w:rsidRDefault="00173F48" w:rsidP="00F92504"/>
        </w:tc>
        <w:tc>
          <w:tcPr>
            <w:tcW w:w="0" w:type="auto"/>
            <w:shd w:val="clear" w:color="auto" w:fill="auto"/>
            <w:vAlign w:val="center"/>
            <w:hideMark/>
          </w:tcPr>
          <w:p w14:paraId="5E8EA931" w14:textId="77777777" w:rsidR="00173F48" w:rsidRPr="00C111EC" w:rsidRDefault="00173F48" w:rsidP="00F92504">
            <w:r w:rsidRPr="00C111EC">
              <w:t>Emergency Management (Appropriate Surgery During COVID-19 Pandemic No 3) Direction 2020</w:t>
            </w:r>
          </w:p>
        </w:tc>
        <w:tc>
          <w:tcPr>
            <w:tcW w:w="0" w:type="auto"/>
            <w:vAlign w:val="center"/>
            <w:hideMark/>
          </w:tcPr>
          <w:p w14:paraId="21FDA195" w14:textId="77777777" w:rsidR="00173F48" w:rsidRPr="00C111EC" w:rsidRDefault="00173F48" w:rsidP="00F92504"/>
        </w:tc>
      </w:tr>
      <w:tr w:rsidR="00173F48" w:rsidRPr="00C111EC" w14:paraId="2D0594D0" w14:textId="77777777" w:rsidTr="00F92504">
        <w:trPr>
          <w:tblCellSpacing w:w="15" w:type="dxa"/>
        </w:trPr>
        <w:tc>
          <w:tcPr>
            <w:tcW w:w="0" w:type="auto"/>
            <w:shd w:val="clear" w:color="auto" w:fill="auto"/>
            <w:vAlign w:val="center"/>
            <w:hideMark/>
          </w:tcPr>
          <w:p w14:paraId="3AAB4BAD" w14:textId="77777777" w:rsidR="00173F48" w:rsidRPr="00C111EC" w:rsidRDefault="00173F48" w:rsidP="00F92504">
            <w:r w:rsidRPr="00C111EC">
              <w:t>15/4/2020</w:t>
            </w:r>
          </w:p>
        </w:tc>
        <w:tc>
          <w:tcPr>
            <w:tcW w:w="0" w:type="auto"/>
            <w:shd w:val="clear" w:color="auto" w:fill="auto"/>
            <w:vAlign w:val="center"/>
            <w:hideMark/>
          </w:tcPr>
          <w:p w14:paraId="58830A68" w14:textId="77777777" w:rsidR="00173F48" w:rsidRPr="00C111EC" w:rsidRDefault="00173F48" w:rsidP="00F92504"/>
        </w:tc>
        <w:tc>
          <w:tcPr>
            <w:tcW w:w="0" w:type="auto"/>
            <w:shd w:val="clear" w:color="auto" w:fill="auto"/>
            <w:vAlign w:val="center"/>
            <w:hideMark/>
          </w:tcPr>
          <w:p w14:paraId="36331A76" w14:textId="77777777" w:rsidR="00173F48" w:rsidRPr="00C111EC" w:rsidRDefault="00173F48" w:rsidP="00F92504">
            <w:r w:rsidRPr="00C111EC">
              <w:t xml:space="preserve">Emergency Management (Non-Essential Business and Other Activities No </w:t>
            </w:r>
            <w:proofErr w:type="gramStart"/>
            <w:r w:rsidRPr="00C111EC">
              <w:t>4)(</w:t>
            </w:r>
            <w:proofErr w:type="gramEnd"/>
            <w:r w:rsidRPr="00C111EC">
              <w:t>COVID-19) Direction 2020</w:t>
            </w:r>
          </w:p>
        </w:tc>
        <w:tc>
          <w:tcPr>
            <w:tcW w:w="0" w:type="auto"/>
            <w:shd w:val="clear" w:color="auto" w:fill="F6F6FF"/>
            <w:vAlign w:val="center"/>
            <w:hideMark/>
          </w:tcPr>
          <w:p w14:paraId="618B032C" w14:textId="77777777" w:rsidR="00173F48" w:rsidRPr="00C111EC" w:rsidRDefault="00173F48" w:rsidP="00F92504"/>
        </w:tc>
      </w:tr>
      <w:tr w:rsidR="00173F48" w:rsidRPr="00C111EC" w14:paraId="6E4A655F" w14:textId="77777777" w:rsidTr="00F92504">
        <w:trPr>
          <w:tblCellSpacing w:w="15" w:type="dxa"/>
        </w:trPr>
        <w:tc>
          <w:tcPr>
            <w:tcW w:w="0" w:type="auto"/>
            <w:shd w:val="clear" w:color="auto" w:fill="auto"/>
            <w:vAlign w:val="center"/>
            <w:hideMark/>
          </w:tcPr>
          <w:p w14:paraId="4A2AC3A2" w14:textId="77777777" w:rsidR="00173F48" w:rsidRPr="00C111EC" w:rsidRDefault="00173F48" w:rsidP="00F92504">
            <w:r w:rsidRPr="00C111EC">
              <w:t>16/4/2020</w:t>
            </w:r>
          </w:p>
        </w:tc>
        <w:tc>
          <w:tcPr>
            <w:tcW w:w="0" w:type="auto"/>
            <w:shd w:val="clear" w:color="auto" w:fill="auto"/>
            <w:vAlign w:val="center"/>
            <w:hideMark/>
          </w:tcPr>
          <w:p w14:paraId="659FF00C" w14:textId="77777777" w:rsidR="00173F48" w:rsidRPr="00C111EC" w:rsidRDefault="00173F48" w:rsidP="00F92504"/>
        </w:tc>
        <w:tc>
          <w:tcPr>
            <w:tcW w:w="0" w:type="auto"/>
            <w:shd w:val="clear" w:color="auto" w:fill="auto"/>
            <w:vAlign w:val="center"/>
            <w:hideMark/>
          </w:tcPr>
          <w:p w14:paraId="43C8E02A" w14:textId="77777777" w:rsidR="00173F48" w:rsidRPr="00C111EC" w:rsidRDefault="00173F48" w:rsidP="00F92504">
            <w:r w:rsidRPr="00C111EC">
              <w:t xml:space="preserve">Emergency Management (Gatherings No </w:t>
            </w:r>
            <w:proofErr w:type="gramStart"/>
            <w:r w:rsidRPr="00C111EC">
              <w:t>2)(</w:t>
            </w:r>
            <w:proofErr w:type="gramEnd"/>
            <w:r w:rsidRPr="00C111EC">
              <w:t>COVID-19) Direction 2020</w:t>
            </w:r>
          </w:p>
        </w:tc>
        <w:tc>
          <w:tcPr>
            <w:tcW w:w="0" w:type="auto"/>
            <w:vAlign w:val="center"/>
            <w:hideMark/>
          </w:tcPr>
          <w:p w14:paraId="0C4C8301" w14:textId="77777777" w:rsidR="00173F48" w:rsidRPr="00C111EC" w:rsidRDefault="00173F48" w:rsidP="00F92504"/>
        </w:tc>
      </w:tr>
      <w:tr w:rsidR="00173F48" w:rsidRPr="00C111EC" w14:paraId="2A74A391" w14:textId="77777777" w:rsidTr="00F92504">
        <w:trPr>
          <w:tblCellSpacing w:w="15" w:type="dxa"/>
        </w:trPr>
        <w:tc>
          <w:tcPr>
            <w:tcW w:w="0" w:type="auto"/>
            <w:shd w:val="clear" w:color="auto" w:fill="auto"/>
            <w:vAlign w:val="center"/>
            <w:hideMark/>
          </w:tcPr>
          <w:p w14:paraId="371FED91" w14:textId="77777777" w:rsidR="00173F48" w:rsidRPr="00C111EC" w:rsidRDefault="00173F48" w:rsidP="00F92504">
            <w:r w:rsidRPr="00C111EC">
              <w:t>16/4/2020</w:t>
            </w:r>
          </w:p>
        </w:tc>
        <w:tc>
          <w:tcPr>
            <w:tcW w:w="0" w:type="auto"/>
            <w:shd w:val="clear" w:color="auto" w:fill="auto"/>
            <w:vAlign w:val="center"/>
            <w:hideMark/>
          </w:tcPr>
          <w:p w14:paraId="5EE9977C" w14:textId="77777777" w:rsidR="00173F48" w:rsidRPr="00C111EC" w:rsidRDefault="00173F48" w:rsidP="00F92504"/>
        </w:tc>
        <w:tc>
          <w:tcPr>
            <w:tcW w:w="0" w:type="auto"/>
            <w:shd w:val="clear" w:color="auto" w:fill="auto"/>
            <w:vAlign w:val="center"/>
            <w:hideMark/>
          </w:tcPr>
          <w:p w14:paraId="426558A6" w14:textId="77777777" w:rsidR="00173F48" w:rsidRPr="00C111EC" w:rsidRDefault="00173F48" w:rsidP="00F92504">
            <w:r w:rsidRPr="00C111EC">
              <w:t>Emergency Management (Cross Border Travel Direction 2020 No.3) (COVID-19) Direction 2020</w:t>
            </w:r>
          </w:p>
        </w:tc>
        <w:tc>
          <w:tcPr>
            <w:tcW w:w="0" w:type="auto"/>
            <w:shd w:val="clear" w:color="auto" w:fill="5484B1"/>
            <w:vAlign w:val="center"/>
            <w:hideMark/>
          </w:tcPr>
          <w:p w14:paraId="4506A1A9" w14:textId="77777777" w:rsidR="00173F48" w:rsidRPr="00C111EC" w:rsidRDefault="00173F48" w:rsidP="00F92504"/>
        </w:tc>
      </w:tr>
      <w:tr w:rsidR="00173F48" w:rsidRPr="00C111EC" w14:paraId="1D9C5BE1" w14:textId="77777777" w:rsidTr="00F92504">
        <w:trPr>
          <w:tblCellSpacing w:w="15" w:type="dxa"/>
        </w:trPr>
        <w:tc>
          <w:tcPr>
            <w:tcW w:w="0" w:type="auto"/>
            <w:shd w:val="clear" w:color="auto" w:fill="auto"/>
            <w:vAlign w:val="center"/>
            <w:hideMark/>
          </w:tcPr>
          <w:p w14:paraId="57B3BCFA" w14:textId="77777777" w:rsidR="00173F48" w:rsidRPr="00C111EC" w:rsidRDefault="00173F48" w:rsidP="00F92504">
            <w:r w:rsidRPr="00C111EC">
              <w:t>21/4/2020</w:t>
            </w:r>
          </w:p>
        </w:tc>
        <w:tc>
          <w:tcPr>
            <w:tcW w:w="0" w:type="auto"/>
            <w:shd w:val="clear" w:color="auto" w:fill="auto"/>
            <w:vAlign w:val="center"/>
            <w:hideMark/>
          </w:tcPr>
          <w:p w14:paraId="2565B1B7" w14:textId="77777777" w:rsidR="00173F48" w:rsidRPr="00C111EC" w:rsidRDefault="00173F48" w:rsidP="00F92504"/>
        </w:tc>
        <w:tc>
          <w:tcPr>
            <w:tcW w:w="0" w:type="auto"/>
            <w:shd w:val="clear" w:color="auto" w:fill="auto"/>
            <w:vAlign w:val="center"/>
            <w:hideMark/>
          </w:tcPr>
          <w:p w14:paraId="495F8CBA" w14:textId="77777777" w:rsidR="00173F48" w:rsidRPr="00C111EC" w:rsidRDefault="00173F48" w:rsidP="00F92504">
            <w:r w:rsidRPr="00C111EC">
              <w:rPr>
                <w:rFonts w:ascii="Verdana" w:hAnsi="Verdana"/>
                <w:color w:val="000000"/>
                <w:sz w:val="17"/>
                <w:szCs w:val="17"/>
                <w:shd w:val="clear" w:color="auto" w:fill="FFFFFF"/>
              </w:rPr>
              <w:t xml:space="preserve">Emergency Management (Residential Aged Care Facilities No </w:t>
            </w:r>
            <w:proofErr w:type="gramStart"/>
            <w:r w:rsidRPr="00C111EC">
              <w:rPr>
                <w:rFonts w:ascii="Verdana" w:hAnsi="Verdana"/>
                <w:color w:val="000000"/>
                <w:sz w:val="17"/>
                <w:szCs w:val="17"/>
                <w:shd w:val="clear" w:color="auto" w:fill="FFFFFF"/>
              </w:rPr>
              <w:t>3)(</w:t>
            </w:r>
            <w:proofErr w:type="gramEnd"/>
            <w:r w:rsidRPr="00C111EC">
              <w:rPr>
                <w:rFonts w:ascii="Verdana" w:hAnsi="Verdana"/>
                <w:color w:val="000000"/>
                <w:sz w:val="17"/>
                <w:szCs w:val="17"/>
                <w:shd w:val="clear" w:color="auto" w:fill="FFFFFF"/>
              </w:rPr>
              <w:t>COVID-19) Direction 2020</w:t>
            </w:r>
          </w:p>
        </w:tc>
        <w:tc>
          <w:tcPr>
            <w:tcW w:w="0" w:type="auto"/>
            <w:vAlign w:val="center"/>
            <w:hideMark/>
          </w:tcPr>
          <w:p w14:paraId="71A68DD7" w14:textId="77777777" w:rsidR="00173F48" w:rsidRPr="00C111EC" w:rsidRDefault="00173F48" w:rsidP="00F92504"/>
        </w:tc>
      </w:tr>
    </w:tbl>
    <w:p w14:paraId="127D9A70" w14:textId="77777777" w:rsidR="00173F48" w:rsidRPr="00C111EC" w:rsidRDefault="00173F48" w:rsidP="00173F48"/>
    <w:p w14:paraId="1502F8B5" w14:textId="77777777" w:rsidR="00173F48" w:rsidRPr="00C111EC" w:rsidRDefault="00173F48" w:rsidP="00173F48"/>
    <w:p w14:paraId="52FCD82A" w14:textId="5E492BA6" w:rsidR="00911088" w:rsidRDefault="00911088">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55D44F6F" w14:textId="77777777" w:rsidR="00451975" w:rsidRDefault="00451975">
      <w:pPr>
        <w:rPr>
          <w:rFonts w:ascii="Segoe UI" w:hAnsi="Segoe UI" w:cs="Segoe UI"/>
          <w:color w:val="212121"/>
          <w:sz w:val="23"/>
          <w:szCs w:val="23"/>
          <w:shd w:val="clear" w:color="auto" w:fill="FFFFFF"/>
        </w:rPr>
      </w:pPr>
    </w:p>
    <w:p w14:paraId="6E56681D" w14:textId="755925A5" w:rsidR="00736257" w:rsidRPr="00736257" w:rsidRDefault="00736257"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Further Info</w:t>
      </w:r>
      <w:r w:rsidR="00D82AC1">
        <w:rPr>
          <w:rFonts w:ascii="Segoe UI" w:hAnsi="Segoe UI" w:cs="Segoe UI"/>
          <w:b/>
          <w:bCs/>
          <w:color w:val="212121"/>
          <w:sz w:val="23"/>
          <w:szCs w:val="23"/>
          <w:shd w:val="clear" w:color="auto" w:fill="FFFFFF"/>
        </w:rPr>
        <w:t>rmation</w:t>
      </w:r>
    </w:p>
    <w:p w14:paraId="7C4F0765" w14:textId="7EDBA7AC" w:rsidR="00736257" w:rsidRDefault="00736257">
      <w:pPr>
        <w:rPr>
          <w:rFonts w:ascii="Segoe UI" w:hAnsi="Segoe UI" w:cs="Segoe UI"/>
          <w:b/>
          <w:bCs/>
          <w:color w:val="212121"/>
          <w:sz w:val="23"/>
          <w:szCs w:val="23"/>
          <w:shd w:val="clear" w:color="auto" w:fill="FFFFFF"/>
        </w:rPr>
      </w:pPr>
    </w:p>
    <w:p w14:paraId="300C0ED8" w14:textId="43B70EFD" w:rsidR="0058634C" w:rsidRDefault="00173F48" w:rsidP="0020069F">
      <w:pPr>
        <w:pStyle w:val="ListParagraph"/>
        <w:numPr>
          <w:ilvl w:val="0"/>
          <w:numId w:val="13"/>
        </w:numPr>
        <w:spacing w:after="120"/>
        <w:ind w:left="527" w:hanging="357"/>
        <w:contextualSpacing w:val="0"/>
        <w:jc w:val="both"/>
        <w:textAlignment w:val="center"/>
      </w:pPr>
      <w:r>
        <w:rPr>
          <w:rFonts w:ascii="Segoe UI" w:hAnsi="Segoe UI" w:cs="Segoe UI"/>
          <w:sz w:val="20"/>
          <w:szCs w:val="20"/>
          <w:bdr w:val="none" w:sz="0" w:space="0" w:color="auto" w:frame="1"/>
        </w:rPr>
        <w:t xml:space="preserve">Legislation and Regulations can be found </w:t>
      </w:r>
      <w:hyperlink r:id="rId14" w:history="1">
        <w:r w:rsidRPr="00173F48">
          <w:rPr>
            <w:rStyle w:val="Hyperlink"/>
            <w:rFonts w:ascii="Segoe UI" w:hAnsi="Segoe UI" w:cs="Segoe UI"/>
            <w:sz w:val="20"/>
            <w:szCs w:val="20"/>
            <w:bdr w:val="none" w:sz="0" w:space="0" w:color="auto" w:frame="1"/>
          </w:rPr>
          <w:t>here</w:t>
        </w:r>
      </w:hyperlink>
      <w:r>
        <w:rPr>
          <w:rFonts w:ascii="Segoe UI" w:hAnsi="Segoe UI" w:cs="Segoe UI"/>
          <w:sz w:val="20"/>
          <w:szCs w:val="20"/>
          <w:bdr w:val="none" w:sz="0" w:space="0" w:color="auto" w:frame="1"/>
        </w:rPr>
        <w:t xml:space="preserve"> </w:t>
      </w:r>
    </w:p>
    <w:p w14:paraId="09B34978" w14:textId="52449964" w:rsidR="00173F48" w:rsidRPr="00173F48" w:rsidRDefault="00173F48" w:rsidP="0020069F">
      <w:pPr>
        <w:pStyle w:val="ListParagraph"/>
        <w:numPr>
          <w:ilvl w:val="0"/>
          <w:numId w:val="13"/>
        </w:numPr>
        <w:spacing w:after="120"/>
        <w:ind w:left="527" w:hanging="357"/>
        <w:contextualSpacing w:val="0"/>
        <w:jc w:val="both"/>
        <w:textAlignment w:val="center"/>
      </w:pPr>
      <w:r>
        <w:rPr>
          <w:rFonts w:ascii="Segoe UI" w:hAnsi="Segoe UI" w:cs="Segoe UI"/>
          <w:sz w:val="20"/>
          <w:szCs w:val="20"/>
          <w:bdr w:val="none" w:sz="0" w:space="0" w:color="auto" w:frame="1"/>
        </w:rPr>
        <w:t xml:space="preserve">Information about Directions can be found </w:t>
      </w:r>
      <w:hyperlink r:id="rId15" w:history="1">
        <w:r w:rsidRPr="00173F48">
          <w:rPr>
            <w:rStyle w:val="Hyperlink"/>
            <w:rFonts w:ascii="Segoe UI" w:hAnsi="Segoe UI" w:cs="Segoe UI"/>
            <w:sz w:val="20"/>
            <w:szCs w:val="20"/>
            <w:bdr w:val="none" w:sz="0" w:space="0" w:color="auto" w:frame="1"/>
          </w:rPr>
          <w:t>here</w:t>
        </w:r>
      </w:hyperlink>
    </w:p>
    <w:p w14:paraId="0F3FD78C" w14:textId="0EB7DBD8" w:rsidR="00173F48" w:rsidRPr="00173F48" w:rsidRDefault="00173F48" w:rsidP="0020069F">
      <w:pPr>
        <w:pStyle w:val="ListParagraph"/>
        <w:numPr>
          <w:ilvl w:val="0"/>
          <w:numId w:val="13"/>
        </w:numPr>
        <w:spacing w:after="120"/>
        <w:ind w:left="527" w:hanging="357"/>
        <w:contextualSpacing w:val="0"/>
        <w:jc w:val="both"/>
        <w:textAlignment w:val="center"/>
      </w:pPr>
      <w:r>
        <w:rPr>
          <w:rFonts w:ascii="Segoe UI" w:hAnsi="Segoe UI" w:cs="Segoe UI"/>
          <w:sz w:val="20"/>
          <w:szCs w:val="20"/>
          <w:bdr w:val="none" w:sz="0" w:space="0" w:color="auto" w:frame="1"/>
        </w:rPr>
        <w:t xml:space="preserve">Information about SAPOL’s role can be found </w:t>
      </w:r>
      <w:hyperlink r:id="rId16" w:history="1">
        <w:r w:rsidRPr="00173F48">
          <w:rPr>
            <w:rStyle w:val="Hyperlink"/>
            <w:rFonts w:ascii="Segoe UI" w:hAnsi="Segoe UI" w:cs="Segoe UI"/>
            <w:sz w:val="20"/>
            <w:szCs w:val="20"/>
            <w:bdr w:val="none" w:sz="0" w:space="0" w:color="auto" w:frame="1"/>
          </w:rPr>
          <w:t>here</w:t>
        </w:r>
      </w:hyperlink>
    </w:p>
    <w:p w14:paraId="18CF5328" w14:textId="34222EE3" w:rsidR="00173F48" w:rsidRDefault="00173F48" w:rsidP="0020069F">
      <w:pPr>
        <w:pStyle w:val="ListParagraph"/>
        <w:numPr>
          <w:ilvl w:val="0"/>
          <w:numId w:val="13"/>
        </w:numPr>
        <w:spacing w:after="120"/>
        <w:ind w:left="527" w:hanging="357"/>
        <w:contextualSpacing w:val="0"/>
        <w:jc w:val="both"/>
        <w:textAlignment w:val="center"/>
      </w:pPr>
      <w:r>
        <w:rPr>
          <w:rFonts w:ascii="Segoe UI" w:hAnsi="Segoe UI" w:cs="Segoe UI"/>
          <w:sz w:val="20"/>
          <w:szCs w:val="20"/>
          <w:bdr w:val="none" w:sz="0" w:space="0" w:color="auto" w:frame="1"/>
        </w:rPr>
        <w:t xml:space="preserve">Information about the SA Parliament’s Select Committee on COVID-19 can be found </w:t>
      </w:r>
      <w:hyperlink r:id="rId17" w:history="1">
        <w:r w:rsidRPr="00173F48">
          <w:rPr>
            <w:rStyle w:val="Hyperlink"/>
            <w:rFonts w:ascii="Segoe UI" w:hAnsi="Segoe UI" w:cs="Segoe UI"/>
            <w:sz w:val="20"/>
            <w:szCs w:val="20"/>
            <w:bdr w:val="none" w:sz="0" w:space="0" w:color="auto" w:frame="1"/>
          </w:rPr>
          <w:t>here</w:t>
        </w:r>
      </w:hyperlink>
    </w:p>
    <w:p w14:paraId="28BAF29C" w14:textId="775A8405" w:rsidR="00674C1B" w:rsidRPr="00736257" w:rsidRDefault="00674C1B" w:rsidP="00674C1B">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Local Contacts</w:t>
      </w:r>
    </w:p>
    <w:p w14:paraId="5BD8D6F2" w14:textId="26F72A9F" w:rsidR="00674C1B" w:rsidRDefault="00674C1B" w:rsidP="005C1F72"/>
    <w:p w14:paraId="732ADC6B" w14:textId="6E62FD3B" w:rsidR="00E755AD" w:rsidRPr="0004592B" w:rsidRDefault="00E755AD" w:rsidP="005C1F72">
      <w:pPr>
        <w:rPr>
          <w:rFonts w:ascii="Segoe UI" w:hAnsi="Segoe UI" w:cs="Segoe UI"/>
          <w:sz w:val="22"/>
          <w:szCs w:val="22"/>
        </w:rPr>
      </w:pPr>
    </w:p>
    <w:p w14:paraId="3863217A" w14:textId="044980D7" w:rsidR="000760F4" w:rsidRPr="00EF6E19" w:rsidRDefault="0000255C" w:rsidP="005C1F72">
      <w:pPr>
        <w:pStyle w:val="ListParagraph"/>
        <w:numPr>
          <w:ilvl w:val="0"/>
          <w:numId w:val="15"/>
        </w:numPr>
        <w:rPr>
          <w:rStyle w:val="Hyperlink"/>
          <w:rFonts w:ascii="Segoe UI" w:hAnsi="Segoe UI" w:cs="Segoe UI"/>
          <w:color w:val="auto"/>
          <w:sz w:val="22"/>
          <w:szCs w:val="22"/>
          <w:u w:val="none"/>
        </w:rPr>
      </w:pPr>
      <w:r w:rsidRPr="0004592B">
        <w:rPr>
          <w:rFonts w:ascii="Segoe UI" w:hAnsi="Segoe UI" w:cs="Segoe UI"/>
          <w:sz w:val="22"/>
          <w:szCs w:val="22"/>
        </w:rPr>
        <w:t xml:space="preserve">Dr Sarah Moulds (UniSA Law School) </w:t>
      </w:r>
      <w:hyperlink r:id="rId18" w:history="1">
        <w:r w:rsidR="000760F4" w:rsidRPr="0004592B">
          <w:rPr>
            <w:rStyle w:val="Hyperlink"/>
            <w:rFonts w:ascii="Segoe UI" w:hAnsi="Segoe UI" w:cs="Segoe UI"/>
            <w:sz w:val="22"/>
            <w:szCs w:val="22"/>
          </w:rPr>
          <w:t>https://people.unisa.edu.au/Sarah.Moulds</w:t>
        </w:r>
      </w:hyperlink>
    </w:p>
    <w:p w14:paraId="48E1E9E7" w14:textId="77777777" w:rsidR="00EF6E19" w:rsidRPr="00EF6E19" w:rsidRDefault="00EF6E19" w:rsidP="00EF6E19">
      <w:pPr>
        <w:pStyle w:val="ListParagraph"/>
        <w:rPr>
          <w:rFonts w:ascii="Segoe UI" w:hAnsi="Segoe UI" w:cs="Segoe UI"/>
          <w:sz w:val="22"/>
          <w:szCs w:val="22"/>
        </w:rPr>
      </w:pPr>
    </w:p>
    <w:p w14:paraId="12E07B2B" w14:textId="1ECB17F0" w:rsidR="00EF6E19" w:rsidRPr="00173F48" w:rsidRDefault="00EF6E19" w:rsidP="00173F48">
      <w:pPr>
        <w:rPr>
          <w:rFonts w:ascii="Segoe UI" w:hAnsi="Segoe UI" w:cs="Segoe UI"/>
          <w:sz w:val="22"/>
          <w:szCs w:val="22"/>
        </w:rPr>
      </w:pPr>
    </w:p>
    <w:sectPr w:rsidR="00EF6E19" w:rsidRPr="00173F48">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4FF0" w14:textId="77777777" w:rsidR="00382338" w:rsidRDefault="00382338" w:rsidP="007E76A4">
      <w:r>
        <w:separator/>
      </w:r>
    </w:p>
  </w:endnote>
  <w:endnote w:type="continuationSeparator" w:id="0">
    <w:p w14:paraId="219A04F8" w14:textId="77777777" w:rsidR="00382338" w:rsidRDefault="00382338" w:rsidP="007E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407138"/>
      <w:docPartObj>
        <w:docPartGallery w:val="Page Numbers (Bottom of Page)"/>
        <w:docPartUnique/>
      </w:docPartObj>
    </w:sdtPr>
    <w:sdtEndPr>
      <w:rPr>
        <w:noProof/>
      </w:rPr>
    </w:sdtEndPr>
    <w:sdtContent>
      <w:p w14:paraId="787A70A2" w14:textId="0C6BAC0B" w:rsidR="00A1217C" w:rsidRDefault="00A1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9036D" w14:textId="1359D62E" w:rsidR="002747A5" w:rsidRPr="002747A5" w:rsidRDefault="002747A5" w:rsidP="002747A5">
    <w:pPr>
      <w:jc w:val="center"/>
      <w:rPr>
        <w:rFonts w:ascii="Segoe UI" w:hAnsi="Segoe UI" w:cs="Segoe UI"/>
        <w:i/>
        <w:iCs/>
        <w:color w:val="212121"/>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5C83" w14:textId="77777777" w:rsidR="00382338" w:rsidRDefault="00382338" w:rsidP="007E76A4">
      <w:r>
        <w:separator/>
      </w:r>
    </w:p>
  </w:footnote>
  <w:footnote w:type="continuationSeparator" w:id="0">
    <w:p w14:paraId="6E738A97" w14:textId="77777777" w:rsidR="00382338" w:rsidRDefault="00382338" w:rsidP="007E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1D38" w14:textId="0C21F313" w:rsidR="00B508D1" w:rsidRPr="009653CC" w:rsidRDefault="00B508D1" w:rsidP="007E76A4">
    <w:pPr>
      <w:jc w:val="right"/>
      <w:rPr>
        <w:rFonts w:ascii="Aharoni" w:hAnsi="Aharoni" w:cs="Aharoni"/>
        <w:color w:val="212121"/>
        <w:sz w:val="18"/>
        <w:szCs w:val="18"/>
        <w:shd w:val="clear" w:color="auto" w:fill="FFFFFF"/>
      </w:rPr>
    </w:pPr>
    <w:r w:rsidRPr="009653CC">
      <w:rPr>
        <w:rFonts w:ascii="Aharoni" w:hAnsi="Aharoni" w:cs="Aharoni" w:hint="cs"/>
        <w:color w:val="212121"/>
        <w:sz w:val="18"/>
        <w:szCs w:val="18"/>
        <w:shd w:val="clear" w:color="auto" w:fill="FFFFFF"/>
      </w:rPr>
      <w:t>Rights Resource Network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AF3"/>
    <w:multiLevelType w:val="hybridMultilevel"/>
    <w:tmpl w:val="1BA0230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84BEA"/>
    <w:multiLevelType w:val="hybridMultilevel"/>
    <w:tmpl w:val="3CB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02E8C"/>
    <w:multiLevelType w:val="hybridMultilevel"/>
    <w:tmpl w:val="D48CABE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23167"/>
    <w:multiLevelType w:val="hybridMultilevel"/>
    <w:tmpl w:val="A876652C"/>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FE549C"/>
    <w:multiLevelType w:val="hybridMultilevel"/>
    <w:tmpl w:val="3D32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9C6C93"/>
    <w:multiLevelType w:val="hybridMultilevel"/>
    <w:tmpl w:val="8140F744"/>
    <w:lvl w:ilvl="0" w:tplc="6F2080CE">
      <w:start w:val="1"/>
      <w:numFmt w:val="bullet"/>
      <w:lvlText w:val="•"/>
      <w:lvlJc w:val="left"/>
      <w:pPr>
        <w:tabs>
          <w:tab w:val="num" w:pos="720"/>
        </w:tabs>
        <w:ind w:left="720" w:hanging="360"/>
      </w:pPr>
      <w:rPr>
        <w:rFonts w:ascii="Times New Roman" w:hAnsi="Times New Roman" w:hint="default"/>
      </w:rPr>
    </w:lvl>
    <w:lvl w:ilvl="1" w:tplc="CA523600">
      <w:numFmt w:val="none"/>
      <w:lvlText w:val=""/>
      <w:lvlJc w:val="left"/>
      <w:pPr>
        <w:tabs>
          <w:tab w:val="num" w:pos="360"/>
        </w:tabs>
      </w:pPr>
    </w:lvl>
    <w:lvl w:ilvl="2" w:tplc="F0768114" w:tentative="1">
      <w:start w:val="1"/>
      <w:numFmt w:val="bullet"/>
      <w:lvlText w:val="•"/>
      <w:lvlJc w:val="left"/>
      <w:pPr>
        <w:tabs>
          <w:tab w:val="num" w:pos="2160"/>
        </w:tabs>
        <w:ind w:left="2160" w:hanging="360"/>
      </w:pPr>
      <w:rPr>
        <w:rFonts w:ascii="Times New Roman" w:hAnsi="Times New Roman" w:hint="default"/>
      </w:rPr>
    </w:lvl>
    <w:lvl w:ilvl="3" w:tplc="5AB2DACA" w:tentative="1">
      <w:start w:val="1"/>
      <w:numFmt w:val="bullet"/>
      <w:lvlText w:val="•"/>
      <w:lvlJc w:val="left"/>
      <w:pPr>
        <w:tabs>
          <w:tab w:val="num" w:pos="2880"/>
        </w:tabs>
        <w:ind w:left="2880" w:hanging="360"/>
      </w:pPr>
      <w:rPr>
        <w:rFonts w:ascii="Times New Roman" w:hAnsi="Times New Roman" w:hint="default"/>
      </w:rPr>
    </w:lvl>
    <w:lvl w:ilvl="4" w:tplc="2252EE1A" w:tentative="1">
      <w:start w:val="1"/>
      <w:numFmt w:val="bullet"/>
      <w:lvlText w:val="•"/>
      <w:lvlJc w:val="left"/>
      <w:pPr>
        <w:tabs>
          <w:tab w:val="num" w:pos="3600"/>
        </w:tabs>
        <w:ind w:left="3600" w:hanging="360"/>
      </w:pPr>
      <w:rPr>
        <w:rFonts w:ascii="Times New Roman" w:hAnsi="Times New Roman" w:hint="default"/>
      </w:rPr>
    </w:lvl>
    <w:lvl w:ilvl="5" w:tplc="FCD4D7A2" w:tentative="1">
      <w:start w:val="1"/>
      <w:numFmt w:val="bullet"/>
      <w:lvlText w:val="•"/>
      <w:lvlJc w:val="left"/>
      <w:pPr>
        <w:tabs>
          <w:tab w:val="num" w:pos="4320"/>
        </w:tabs>
        <w:ind w:left="4320" w:hanging="360"/>
      </w:pPr>
      <w:rPr>
        <w:rFonts w:ascii="Times New Roman" w:hAnsi="Times New Roman" w:hint="default"/>
      </w:rPr>
    </w:lvl>
    <w:lvl w:ilvl="6" w:tplc="E93AE678" w:tentative="1">
      <w:start w:val="1"/>
      <w:numFmt w:val="bullet"/>
      <w:lvlText w:val="•"/>
      <w:lvlJc w:val="left"/>
      <w:pPr>
        <w:tabs>
          <w:tab w:val="num" w:pos="5040"/>
        </w:tabs>
        <w:ind w:left="5040" w:hanging="360"/>
      </w:pPr>
      <w:rPr>
        <w:rFonts w:ascii="Times New Roman" w:hAnsi="Times New Roman" w:hint="default"/>
      </w:rPr>
    </w:lvl>
    <w:lvl w:ilvl="7" w:tplc="10722E24" w:tentative="1">
      <w:start w:val="1"/>
      <w:numFmt w:val="bullet"/>
      <w:lvlText w:val="•"/>
      <w:lvlJc w:val="left"/>
      <w:pPr>
        <w:tabs>
          <w:tab w:val="num" w:pos="5760"/>
        </w:tabs>
        <w:ind w:left="5760" w:hanging="360"/>
      </w:pPr>
      <w:rPr>
        <w:rFonts w:ascii="Times New Roman" w:hAnsi="Times New Roman" w:hint="default"/>
      </w:rPr>
    </w:lvl>
    <w:lvl w:ilvl="8" w:tplc="68B2E8F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4E7D9D"/>
    <w:multiLevelType w:val="hybridMultilevel"/>
    <w:tmpl w:val="9F585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DD5A08"/>
    <w:multiLevelType w:val="hybridMultilevel"/>
    <w:tmpl w:val="80F23A16"/>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046F91"/>
    <w:multiLevelType w:val="hybridMultilevel"/>
    <w:tmpl w:val="B082E9C4"/>
    <w:lvl w:ilvl="0" w:tplc="C44660C8">
      <w:start w:val="1"/>
      <w:numFmt w:val="bullet"/>
      <w:lvlText w:val=""/>
      <w:lvlJc w:val="left"/>
      <w:pPr>
        <w:tabs>
          <w:tab w:val="num" w:pos="720"/>
        </w:tabs>
        <w:ind w:left="720" w:hanging="360"/>
      </w:pPr>
      <w:rPr>
        <w:rFonts w:ascii="Wingdings" w:hAnsi="Wingdings" w:hint="default"/>
      </w:rPr>
    </w:lvl>
    <w:lvl w:ilvl="1" w:tplc="56600184">
      <w:start w:val="270"/>
      <w:numFmt w:val="bullet"/>
      <w:lvlText w:val=""/>
      <w:lvlJc w:val="left"/>
      <w:pPr>
        <w:tabs>
          <w:tab w:val="num" w:pos="1440"/>
        </w:tabs>
        <w:ind w:left="1440" w:hanging="360"/>
      </w:pPr>
      <w:rPr>
        <w:rFonts w:ascii="Wingdings" w:hAnsi="Wingdings" w:hint="default"/>
      </w:rPr>
    </w:lvl>
    <w:lvl w:ilvl="2" w:tplc="615463EC" w:tentative="1">
      <w:start w:val="1"/>
      <w:numFmt w:val="bullet"/>
      <w:lvlText w:val=""/>
      <w:lvlJc w:val="left"/>
      <w:pPr>
        <w:tabs>
          <w:tab w:val="num" w:pos="2160"/>
        </w:tabs>
        <w:ind w:left="2160" w:hanging="360"/>
      </w:pPr>
      <w:rPr>
        <w:rFonts w:ascii="Wingdings" w:hAnsi="Wingdings" w:hint="default"/>
      </w:rPr>
    </w:lvl>
    <w:lvl w:ilvl="3" w:tplc="D62C0D36" w:tentative="1">
      <w:start w:val="1"/>
      <w:numFmt w:val="bullet"/>
      <w:lvlText w:val=""/>
      <w:lvlJc w:val="left"/>
      <w:pPr>
        <w:tabs>
          <w:tab w:val="num" w:pos="2880"/>
        </w:tabs>
        <w:ind w:left="2880" w:hanging="360"/>
      </w:pPr>
      <w:rPr>
        <w:rFonts w:ascii="Wingdings" w:hAnsi="Wingdings" w:hint="default"/>
      </w:rPr>
    </w:lvl>
    <w:lvl w:ilvl="4" w:tplc="23503954" w:tentative="1">
      <w:start w:val="1"/>
      <w:numFmt w:val="bullet"/>
      <w:lvlText w:val=""/>
      <w:lvlJc w:val="left"/>
      <w:pPr>
        <w:tabs>
          <w:tab w:val="num" w:pos="3600"/>
        </w:tabs>
        <w:ind w:left="3600" w:hanging="360"/>
      </w:pPr>
      <w:rPr>
        <w:rFonts w:ascii="Wingdings" w:hAnsi="Wingdings" w:hint="default"/>
      </w:rPr>
    </w:lvl>
    <w:lvl w:ilvl="5" w:tplc="B67A126C" w:tentative="1">
      <w:start w:val="1"/>
      <w:numFmt w:val="bullet"/>
      <w:lvlText w:val=""/>
      <w:lvlJc w:val="left"/>
      <w:pPr>
        <w:tabs>
          <w:tab w:val="num" w:pos="4320"/>
        </w:tabs>
        <w:ind w:left="4320" w:hanging="360"/>
      </w:pPr>
      <w:rPr>
        <w:rFonts w:ascii="Wingdings" w:hAnsi="Wingdings" w:hint="default"/>
      </w:rPr>
    </w:lvl>
    <w:lvl w:ilvl="6" w:tplc="1F36B55A" w:tentative="1">
      <w:start w:val="1"/>
      <w:numFmt w:val="bullet"/>
      <w:lvlText w:val=""/>
      <w:lvlJc w:val="left"/>
      <w:pPr>
        <w:tabs>
          <w:tab w:val="num" w:pos="5040"/>
        </w:tabs>
        <w:ind w:left="5040" w:hanging="360"/>
      </w:pPr>
      <w:rPr>
        <w:rFonts w:ascii="Wingdings" w:hAnsi="Wingdings" w:hint="default"/>
      </w:rPr>
    </w:lvl>
    <w:lvl w:ilvl="7" w:tplc="DE62E3C6" w:tentative="1">
      <w:start w:val="1"/>
      <w:numFmt w:val="bullet"/>
      <w:lvlText w:val=""/>
      <w:lvlJc w:val="left"/>
      <w:pPr>
        <w:tabs>
          <w:tab w:val="num" w:pos="5760"/>
        </w:tabs>
        <w:ind w:left="5760" w:hanging="360"/>
      </w:pPr>
      <w:rPr>
        <w:rFonts w:ascii="Wingdings" w:hAnsi="Wingdings" w:hint="default"/>
      </w:rPr>
    </w:lvl>
    <w:lvl w:ilvl="8" w:tplc="AF8648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E7A5F"/>
    <w:multiLevelType w:val="hybridMultilevel"/>
    <w:tmpl w:val="BAFE5804"/>
    <w:lvl w:ilvl="0" w:tplc="01CEBDF4">
      <w:start w:val="1"/>
      <w:numFmt w:val="bullet"/>
      <w:lvlText w:val="•"/>
      <w:lvlJc w:val="left"/>
      <w:pPr>
        <w:tabs>
          <w:tab w:val="num" w:pos="720"/>
        </w:tabs>
        <w:ind w:left="720" w:hanging="360"/>
      </w:pPr>
      <w:rPr>
        <w:rFonts w:ascii="Times New Roman" w:hAnsi="Times New Roman" w:hint="default"/>
      </w:rPr>
    </w:lvl>
    <w:lvl w:ilvl="1" w:tplc="E3528326" w:tentative="1">
      <w:start w:val="1"/>
      <w:numFmt w:val="bullet"/>
      <w:lvlText w:val="•"/>
      <w:lvlJc w:val="left"/>
      <w:pPr>
        <w:tabs>
          <w:tab w:val="num" w:pos="1440"/>
        </w:tabs>
        <w:ind w:left="1440" w:hanging="360"/>
      </w:pPr>
      <w:rPr>
        <w:rFonts w:ascii="Times New Roman" w:hAnsi="Times New Roman" w:hint="default"/>
      </w:rPr>
    </w:lvl>
    <w:lvl w:ilvl="2" w:tplc="F22E7F9C" w:tentative="1">
      <w:start w:val="1"/>
      <w:numFmt w:val="bullet"/>
      <w:lvlText w:val="•"/>
      <w:lvlJc w:val="left"/>
      <w:pPr>
        <w:tabs>
          <w:tab w:val="num" w:pos="2160"/>
        </w:tabs>
        <w:ind w:left="2160" w:hanging="360"/>
      </w:pPr>
      <w:rPr>
        <w:rFonts w:ascii="Times New Roman" w:hAnsi="Times New Roman" w:hint="default"/>
      </w:rPr>
    </w:lvl>
    <w:lvl w:ilvl="3" w:tplc="1CB473EE" w:tentative="1">
      <w:start w:val="1"/>
      <w:numFmt w:val="bullet"/>
      <w:lvlText w:val="•"/>
      <w:lvlJc w:val="left"/>
      <w:pPr>
        <w:tabs>
          <w:tab w:val="num" w:pos="2880"/>
        </w:tabs>
        <w:ind w:left="2880" w:hanging="360"/>
      </w:pPr>
      <w:rPr>
        <w:rFonts w:ascii="Times New Roman" w:hAnsi="Times New Roman" w:hint="default"/>
      </w:rPr>
    </w:lvl>
    <w:lvl w:ilvl="4" w:tplc="E3BC23E0" w:tentative="1">
      <w:start w:val="1"/>
      <w:numFmt w:val="bullet"/>
      <w:lvlText w:val="•"/>
      <w:lvlJc w:val="left"/>
      <w:pPr>
        <w:tabs>
          <w:tab w:val="num" w:pos="3600"/>
        </w:tabs>
        <w:ind w:left="3600" w:hanging="360"/>
      </w:pPr>
      <w:rPr>
        <w:rFonts w:ascii="Times New Roman" w:hAnsi="Times New Roman" w:hint="default"/>
      </w:rPr>
    </w:lvl>
    <w:lvl w:ilvl="5" w:tplc="D0ACEA96" w:tentative="1">
      <w:start w:val="1"/>
      <w:numFmt w:val="bullet"/>
      <w:lvlText w:val="•"/>
      <w:lvlJc w:val="left"/>
      <w:pPr>
        <w:tabs>
          <w:tab w:val="num" w:pos="4320"/>
        </w:tabs>
        <w:ind w:left="4320" w:hanging="360"/>
      </w:pPr>
      <w:rPr>
        <w:rFonts w:ascii="Times New Roman" w:hAnsi="Times New Roman" w:hint="default"/>
      </w:rPr>
    </w:lvl>
    <w:lvl w:ilvl="6" w:tplc="3CCCB6FA" w:tentative="1">
      <w:start w:val="1"/>
      <w:numFmt w:val="bullet"/>
      <w:lvlText w:val="•"/>
      <w:lvlJc w:val="left"/>
      <w:pPr>
        <w:tabs>
          <w:tab w:val="num" w:pos="5040"/>
        </w:tabs>
        <w:ind w:left="5040" w:hanging="360"/>
      </w:pPr>
      <w:rPr>
        <w:rFonts w:ascii="Times New Roman" w:hAnsi="Times New Roman" w:hint="default"/>
      </w:rPr>
    </w:lvl>
    <w:lvl w:ilvl="7" w:tplc="28D01582" w:tentative="1">
      <w:start w:val="1"/>
      <w:numFmt w:val="bullet"/>
      <w:lvlText w:val="•"/>
      <w:lvlJc w:val="left"/>
      <w:pPr>
        <w:tabs>
          <w:tab w:val="num" w:pos="5760"/>
        </w:tabs>
        <w:ind w:left="5760" w:hanging="360"/>
      </w:pPr>
      <w:rPr>
        <w:rFonts w:ascii="Times New Roman" w:hAnsi="Times New Roman" w:hint="default"/>
      </w:rPr>
    </w:lvl>
    <w:lvl w:ilvl="8" w:tplc="9E42D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D429BC"/>
    <w:multiLevelType w:val="hybridMultilevel"/>
    <w:tmpl w:val="AF200BD0"/>
    <w:lvl w:ilvl="0" w:tplc="86D8A4F0">
      <w:start w:val="1"/>
      <w:numFmt w:val="decimal"/>
      <w:lvlText w:val="%1)"/>
      <w:lvlJc w:val="left"/>
      <w:pPr>
        <w:tabs>
          <w:tab w:val="num" w:pos="720"/>
        </w:tabs>
        <w:ind w:left="720" w:hanging="360"/>
      </w:pPr>
    </w:lvl>
    <w:lvl w:ilvl="1" w:tplc="315C02F8" w:tentative="1">
      <w:start w:val="1"/>
      <w:numFmt w:val="decimal"/>
      <w:lvlText w:val="%2)"/>
      <w:lvlJc w:val="left"/>
      <w:pPr>
        <w:tabs>
          <w:tab w:val="num" w:pos="1440"/>
        </w:tabs>
        <w:ind w:left="1440" w:hanging="360"/>
      </w:pPr>
    </w:lvl>
    <w:lvl w:ilvl="2" w:tplc="529827CE" w:tentative="1">
      <w:start w:val="1"/>
      <w:numFmt w:val="decimal"/>
      <w:lvlText w:val="%3)"/>
      <w:lvlJc w:val="left"/>
      <w:pPr>
        <w:tabs>
          <w:tab w:val="num" w:pos="2160"/>
        </w:tabs>
        <w:ind w:left="2160" w:hanging="360"/>
      </w:pPr>
    </w:lvl>
    <w:lvl w:ilvl="3" w:tplc="8B48CF7A" w:tentative="1">
      <w:start w:val="1"/>
      <w:numFmt w:val="decimal"/>
      <w:lvlText w:val="%4)"/>
      <w:lvlJc w:val="left"/>
      <w:pPr>
        <w:tabs>
          <w:tab w:val="num" w:pos="2880"/>
        </w:tabs>
        <w:ind w:left="2880" w:hanging="360"/>
      </w:pPr>
    </w:lvl>
    <w:lvl w:ilvl="4" w:tplc="F44EFF7A" w:tentative="1">
      <w:start w:val="1"/>
      <w:numFmt w:val="decimal"/>
      <w:lvlText w:val="%5)"/>
      <w:lvlJc w:val="left"/>
      <w:pPr>
        <w:tabs>
          <w:tab w:val="num" w:pos="3600"/>
        </w:tabs>
        <w:ind w:left="3600" w:hanging="360"/>
      </w:pPr>
    </w:lvl>
    <w:lvl w:ilvl="5" w:tplc="7680942E" w:tentative="1">
      <w:start w:val="1"/>
      <w:numFmt w:val="decimal"/>
      <w:lvlText w:val="%6)"/>
      <w:lvlJc w:val="left"/>
      <w:pPr>
        <w:tabs>
          <w:tab w:val="num" w:pos="4320"/>
        </w:tabs>
        <w:ind w:left="4320" w:hanging="360"/>
      </w:pPr>
    </w:lvl>
    <w:lvl w:ilvl="6" w:tplc="13ACE9C4" w:tentative="1">
      <w:start w:val="1"/>
      <w:numFmt w:val="decimal"/>
      <w:lvlText w:val="%7)"/>
      <w:lvlJc w:val="left"/>
      <w:pPr>
        <w:tabs>
          <w:tab w:val="num" w:pos="5040"/>
        </w:tabs>
        <w:ind w:left="5040" w:hanging="360"/>
      </w:pPr>
    </w:lvl>
    <w:lvl w:ilvl="7" w:tplc="AE7C4CDE" w:tentative="1">
      <w:start w:val="1"/>
      <w:numFmt w:val="decimal"/>
      <w:lvlText w:val="%8)"/>
      <w:lvlJc w:val="left"/>
      <w:pPr>
        <w:tabs>
          <w:tab w:val="num" w:pos="5760"/>
        </w:tabs>
        <w:ind w:left="5760" w:hanging="360"/>
      </w:pPr>
    </w:lvl>
    <w:lvl w:ilvl="8" w:tplc="3DBCA942" w:tentative="1">
      <w:start w:val="1"/>
      <w:numFmt w:val="decimal"/>
      <w:lvlText w:val="%9)"/>
      <w:lvlJc w:val="left"/>
      <w:pPr>
        <w:tabs>
          <w:tab w:val="num" w:pos="6480"/>
        </w:tabs>
        <w:ind w:left="6480" w:hanging="360"/>
      </w:pPr>
    </w:lvl>
  </w:abstractNum>
  <w:abstractNum w:abstractNumId="11" w15:restartNumberingAfterBreak="0">
    <w:nsid w:val="3C792B26"/>
    <w:multiLevelType w:val="hybridMultilevel"/>
    <w:tmpl w:val="7EC02F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E41C7"/>
    <w:multiLevelType w:val="hybridMultilevel"/>
    <w:tmpl w:val="806E94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8335B"/>
    <w:multiLevelType w:val="hybridMultilevel"/>
    <w:tmpl w:val="3724E6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6522B"/>
    <w:multiLevelType w:val="hybridMultilevel"/>
    <w:tmpl w:val="EE1436F0"/>
    <w:lvl w:ilvl="0" w:tplc="F1B68362">
      <w:start w:val="1"/>
      <w:numFmt w:val="bullet"/>
      <w:lvlText w:val=""/>
      <w:lvlJc w:val="left"/>
      <w:pPr>
        <w:tabs>
          <w:tab w:val="num" w:pos="720"/>
        </w:tabs>
        <w:ind w:left="720" w:hanging="360"/>
      </w:pPr>
      <w:rPr>
        <w:rFonts w:ascii="Wingdings" w:hAnsi="Wingdings" w:hint="default"/>
      </w:rPr>
    </w:lvl>
    <w:lvl w:ilvl="1" w:tplc="B0146DBC">
      <w:start w:val="270"/>
      <w:numFmt w:val="bullet"/>
      <w:lvlText w:val=""/>
      <w:lvlJc w:val="left"/>
      <w:pPr>
        <w:tabs>
          <w:tab w:val="num" w:pos="1440"/>
        </w:tabs>
        <w:ind w:left="1440" w:hanging="360"/>
      </w:pPr>
      <w:rPr>
        <w:rFonts w:ascii="Wingdings" w:hAnsi="Wingdings" w:hint="default"/>
      </w:rPr>
    </w:lvl>
    <w:lvl w:ilvl="2" w:tplc="3BD01542" w:tentative="1">
      <w:start w:val="1"/>
      <w:numFmt w:val="bullet"/>
      <w:lvlText w:val=""/>
      <w:lvlJc w:val="left"/>
      <w:pPr>
        <w:tabs>
          <w:tab w:val="num" w:pos="2160"/>
        </w:tabs>
        <w:ind w:left="2160" w:hanging="360"/>
      </w:pPr>
      <w:rPr>
        <w:rFonts w:ascii="Wingdings" w:hAnsi="Wingdings" w:hint="default"/>
      </w:rPr>
    </w:lvl>
    <w:lvl w:ilvl="3" w:tplc="06E82BB2" w:tentative="1">
      <w:start w:val="1"/>
      <w:numFmt w:val="bullet"/>
      <w:lvlText w:val=""/>
      <w:lvlJc w:val="left"/>
      <w:pPr>
        <w:tabs>
          <w:tab w:val="num" w:pos="2880"/>
        </w:tabs>
        <w:ind w:left="2880" w:hanging="360"/>
      </w:pPr>
      <w:rPr>
        <w:rFonts w:ascii="Wingdings" w:hAnsi="Wingdings" w:hint="default"/>
      </w:rPr>
    </w:lvl>
    <w:lvl w:ilvl="4" w:tplc="AA40DC74" w:tentative="1">
      <w:start w:val="1"/>
      <w:numFmt w:val="bullet"/>
      <w:lvlText w:val=""/>
      <w:lvlJc w:val="left"/>
      <w:pPr>
        <w:tabs>
          <w:tab w:val="num" w:pos="3600"/>
        </w:tabs>
        <w:ind w:left="3600" w:hanging="360"/>
      </w:pPr>
      <w:rPr>
        <w:rFonts w:ascii="Wingdings" w:hAnsi="Wingdings" w:hint="default"/>
      </w:rPr>
    </w:lvl>
    <w:lvl w:ilvl="5" w:tplc="D28A71A4" w:tentative="1">
      <w:start w:val="1"/>
      <w:numFmt w:val="bullet"/>
      <w:lvlText w:val=""/>
      <w:lvlJc w:val="left"/>
      <w:pPr>
        <w:tabs>
          <w:tab w:val="num" w:pos="4320"/>
        </w:tabs>
        <w:ind w:left="4320" w:hanging="360"/>
      </w:pPr>
      <w:rPr>
        <w:rFonts w:ascii="Wingdings" w:hAnsi="Wingdings" w:hint="default"/>
      </w:rPr>
    </w:lvl>
    <w:lvl w:ilvl="6" w:tplc="309296B8" w:tentative="1">
      <w:start w:val="1"/>
      <w:numFmt w:val="bullet"/>
      <w:lvlText w:val=""/>
      <w:lvlJc w:val="left"/>
      <w:pPr>
        <w:tabs>
          <w:tab w:val="num" w:pos="5040"/>
        </w:tabs>
        <w:ind w:left="5040" w:hanging="360"/>
      </w:pPr>
      <w:rPr>
        <w:rFonts w:ascii="Wingdings" w:hAnsi="Wingdings" w:hint="default"/>
      </w:rPr>
    </w:lvl>
    <w:lvl w:ilvl="7" w:tplc="9A320E3E" w:tentative="1">
      <w:start w:val="1"/>
      <w:numFmt w:val="bullet"/>
      <w:lvlText w:val=""/>
      <w:lvlJc w:val="left"/>
      <w:pPr>
        <w:tabs>
          <w:tab w:val="num" w:pos="5760"/>
        </w:tabs>
        <w:ind w:left="5760" w:hanging="360"/>
      </w:pPr>
      <w:rPr>
        <w:rFonts w:ascii="Wingdings" w:hAnsi="Wingdings" w:hint="default"/>
      </w:rPr>
    </w:lvl>
    <w:lvl w:ilvl="8" w:tplc="DEF056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E0D2B"/>
    <w:multiLevelType w:val="hybridMultilevel"/>
    <w:tmpl w:val="A35A5106"/>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262874"/>
    <w:multiLevelType w:val="hybridMultilevel"/>
    <w:tmpl w:val="5670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91199"/>
    <w:multiLevelType w:val="hybridMultilevel"/>
    <w:tmpl w:val="873E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92616D"/>
    <w:multiLevelType w:val="multilevel"/>
    <w:tmpl w:val="9EB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C5997"/>
    <w:multiLevelType w:val="hybridMultilevel"/>
    <w:tmpl w:val="9DD69A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7F10FE"/>
    <w:multiLevelType w:val="hybridMultilevel"/>
    <w:tmpl w:val="3F284A2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BD5B1C"/>
    <w:multiLevelType w:val="hybridMultilevel"/>
    <w:tmpl w:val="0102EEE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F0755A"/>
    <w:multiLevelType w:val="hybridMultilevel"/>
    <w:tmpl w:val="97B46CDA"/>
    <w:lvl w:ilvl="0" w:tplc="79A4F88E">
      <w:start w:val="1"/>
      <w:numFmt w:val="bullet"/>
      <w:lvlText w:val="•"/>
      <w:lvlJc w:val="left"/>
      <w:pPr>
        <w:tabs>
          <w:tab w:val="num" w:pos="720"/>
        </w:tabs>
        <w:ind w:left="720" w:hanging="360"/>
      </w:pPr>
      <w:rPr>
        <w:rFonts w:ascii="Times New Roman" w:hAnsi="Times New Roman" w:hint="default"/>
      </w:rPr>
    </w:lvl>
    <w:lvl w:ilvl="1" w:tplc="EF88EA7E" w:tentative="1">
      <w:start w:val="1"/>
      <w:numFmt w:val="bullet"/>
      <w:lvlText w:val="•"/>
      <w:lvlJc w:val="left"/>
      <w:pPr>
        <w:tabs>
          <w:tab w:val="num" w:pos="1440"/>
        </w:tabs>
        <w:ind w:left="1440" w:hanging="360"/>
      </w:pPr>
      <w:rPr>
        <w:rFonts w:ascii="Times New Roman" w:hAnsi="Times New Roman" w:hint="default"/>
      </w:rPr>
    </w:lvl>
    <w:lvl w:ilvl="2" w:tplc="996A1FD2" w:tentative="1">
      <w:start w:val="1"/>
      <w:numFmt w:val="bullet"/>
      <w:lvlText w:val="•"/>
      <w:lvlJc w:val="left"/>
      <w:pPr>
        <w:tabs>
          <w:tab w:val="num" w:pos="2160"/>
        </w:tabs>
        <w:ind w:left="2160" w:hanging="360"/>
      </w:pPr>
      <w:rPr>
        <w:rFonts w:ascii="Times New Roman" w:hAnsi="Times New Roman" w:hint="default"/>
      </w:rPr>
    </w:lvl>
    <w:lvl w:ilvl="3" w:tplc="24D0CC62" w:tentative="1">
      <w:start w:val="1"/>
      <w:numFmt w:val="bullet"/>
      <w:lvlText w:val="•"/>
      <w:lvlJc w:val="left"/>
      <w:pPr>
        <w:tabs>
          <w:tab w:val="num" w:pos="2880"/>
        </w:tabs>
        <w:ind w:left="2880" w:hanging="360"/>
      </w:pPr>
      <w:rPr>
        <w:rFonts w:ascii="Times New Roman" w:hAnsi="Times New Roman" w:hint="default"/>
      </w:rPr>
    </w:lvl>
    <w:lvl w:ilvl="4" w:tplc="8AB489B8" w:tentative="1">
      <w:start w:val="1"/>
      <w:numFmt w:val="bullet"/>
      <w:lvlText w:val="•"/>
      <w:lvlJc w:val="left"/>
      <w:pPr>
        <w:tabs>
          <w:tab w:val="num" w:pos="3600"/>
        </w:tabs>
        <w:ind w:left="3600" w:hanging="360"/>
      </w:pPr>
      <w:rPr>
        <w:rFonts w:ascii="Times New Roman" w:hAnsi="Times New Roman" w:hint="default"/>
      </w:rPr>
    </w:lvl>
    <w:lvl w:ilvl="5" w:tplc="C1461AF0" w:tentative="1">
      <w:start w:val="1"/>
      <w:numFmt w:val="bullet"/>
      <w:lvlText w:val="•"/>
      <w:lvlJc w:val="left"/>
      <w:pPr>
        <w:tabs>
          <w:tab w:val="num" w:pos="4320"/>
        </w:tabs>
        <w:ind w:left="4320" w:hanging="360"/>
      </w:pPr>
      <w:rPr>
        <w:rFonts w:ascii="Times New Roman" w:hAnsi="Times New Roman" w:hint="default"/>
      </w:rPr>
    </w:lvl>
    <w:lvl w:ilvl="6" w:tplc="B45EFDAC" w:tentative="1">
      <w:start w:val="1"/>
      <w:numFmt w:val="bullet"/>
      <w:lvlText w:val="•"/>
      <w:lvlJc w:val="left"/>
      <w:pPr>
        <w:tabs>
          <w:tab w:val="num" w:pos="5040"/>
        </w:tabs>
        <w:ind w:left="5040" w:hanging="360"/>
      </w:pPr>
      <w:rPr>
        <w:rFonts w:ascii="Times New Roman" w:hAnsi="Times New Roman" w:hint="default"/>
      </w:rPr>
    </w:lvl>
    <w:lvl w:ilvl="7" w:tplc="3322E8FE" w:tentative="1">
      <w:start w:val="1"/>
      <w:numFmt w:val="bullet"/>
      <w:lvlText w:val="•"/>
      <w:lvlJc w:val="left"/>
      <w:pPr>
        <w:tabs>
          <w:tab w:val="num" w:pos="5760"/>
        </w:tabs>
        <w:ind w:left="5760" w:hanging="360"/>
      </w:pPr>
      <w:rPr>
        <w:rFonts w:ascii="Times New Roman" w:hAnsi="Times New Roman" w:hint="default"/>
      </w:rPr>
    </w:lvl>
    <w:lvl w:ilvl="8" w:tplc="06C4F8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7072BD6"/>
    <w:multiLevelType w:val="hybridMultilevel"/>
    <w:tmpl w:val="D3F274DE"/>
    <w:lvl w:ilvl="0" w:tplc="0CF8DAEE">
      <w:start w:val="1"/>
      <w:numFmt w:val="decimal"/>
      <w:lvlText w:val="%1)"/>
      <w:lvlJc w:val="left"/>
      <w:pPr>
        <w:tabs>
          <w:tab w:val="num" w:pos="720"/>
        </w:tabs>
        <w:ind w:left="720" w:hanging="360"/>
      </w:pPr>
    </w:lvl>
    <w:lvl w:ilvl="1" w:tplc="65608810" w:tentative="1">
      <w:start w:val="1"/>
      <w:numFmt w:val="decimal"/>
      <w:lvlText w:val="%2)"/>
      <w:lvlJc w:val="left"/>
      <w:pPr>
        <w:tabs>
          <w:tab w:val="num" w:pos="1440"/>
        </w:tabs>
        <w:ind w:left="1440" w:hanging="360"/>
      </w:pPr>
    </w:lvl>
    <w:lvl w:ilvl="2" w:tplc="4A32AD0C" w:tentative="1">
      <w:start w:val="1"/>
      <w:numFmt w:val="decimal"/>
      <w:lvlText w:val="%3)"/>
      <w:lvlJc w:val="left"/>
      <w:pPr>
        <w:tabs>
          <w:tab w:val="num" w:pos="2160"/>
        </w:tabs>
        <w:ind w:left="2160" w:hanging="360"/>
      </w:pPr>
    </w:lvl>
    <w:lvl w:ilvl="3" w:tplc="48820BC4" w:tentative="1">
      <w:start w:val="1"/>
      <w:numFmt w:val="decimal"/>
      <w:lvlText w:val="%4)"/>
      <w:lvlJc w:val="left"/>
      <w:pPr>
        <w:tabs>
          <w:tab w:val="num" w:pos="2880"/>
        </w:tabs>
        <w:ind w:left="2880" w:hanging="360"/>
      </w:pPr>
    </w:lvl>
    <w:lvl w:ilvl="4" w:tplc="A09E7B2E" w:tentative="1">
      <w:start w:val="1"/>
      <w:numFmt w:val="decimal"/>
      <w:lvlText w:val="%5)"/>
      <w:lvlJc w:val="left"/>
      <w:pPr>
        <w:tabs>
          <w:tab w:val="num" w:pos="3600"/>
        </w:tabs>
        <w:ind w:left="3600" w:hanging="360"/>
      </w:pPr>
    </w:lvl>
    <w:lvl w:ilvl="5" w:tplc="F9E8BCC2" w:tentative="1">
      <w:start w:val="1"/>
      <w:numFmt w:val="decimal"/>
      <w:lvlText w:val="%6)"/>
      <w:lvlJc w:val="left"/>
      <w:pPr>
        <w:tabs>
          <w:tab w:val="num" w:pos="4320"/>
        </w:tabs>
        <w:ind w:left="4320" w:hanging="360"/>
      </w:pPr>
    </w:lvl>
    <w:lvl w:ilvl="6" w:tplc="F60026EE" w:tentative="1">
      <w:start w:val="1"/>
      <w:numFmt w:val="decimal"/>
      <w:lvlText w:val="%7)"/>
      <w:lvlJc w:val="left"/>
      <w:pPr>
        <w:tabs>
          <w:tab w:val="num" w:pos="5040"/>
        </w:tabs>
        <w:ind w:left="5040" w:hanging="360"/>
      </w:pPr>
    </w:lvl>
    <w:lvl w:ilvl="7" w:tplc="CD1C501A" w:tentative="1">
      <w:start w:val="1"/>
      <w:numFmt w:val="decimal"/>
      <w:lvlText w:val="%8)"/>
      <w:lvlJc w:val="left"/>
      <w:pPr>
        <w:tabs>
          <w:tab w:val="num" w:pos="5760"/>
        </w:tabs>
        <w:ind w:left="5760" w:hanging="360"/>
      </w:pPr>
    </w:lvl>
    <w:lvl w:ilvl="8" w:tplc="5038CC72" w:tentative="1">
      <w:start w:val="1"/>
      <w:numFmt w:val="decimal"/>
      <w:lvlText w:val="%9)"/>
      <w:lvlJc w:val="left"/>
      <w:pPr>
        <w:tabs>
          <w:tab w:val="num" w:pos="6480"/>
        </w:tabs>
        <w:ind w:left="6480" w:hanging="360"/>
      </w:pPr>
    </w:lvl>
  </w:abstractNum>
  <w:abstractNum w:abstractNumId="24" w15:restartNumberingAfterBreak="0">
    <w:nsid w:val="77A12601"/>
    <w:multiLevelType w:val="multilevel"/>
    <w:tmpl w:val="5518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625D95"/>
    <w:multiLevelType w:val="hybridMultilevel"/>
    <w:tmpl w:val="B92A344C"/>
    <w:lvl w:ilvl="0" w:tplc="8F506354">
      <w:start w:val="1"/>
      <w:numFmt w:val="bullet"/>
      <w:lvlText w:val="•"/>
      <w:lvlJc w:val="left"/>
      <w:pPr>
        <w:tabs>
          <w:tab w:val="num" w:pos="720"/>
        </w:tabs>
        <w:ind w:left="720" w:hanging="360"/>
      </w:pPr>
      <w:rPr>
        <w:rFonts w:ascii="Times New Roman" w:hAnsi="Times New Roman" w:hint="default"/>
      </w:rPr>
    </w:lvl>
    <w:lvl w:ilvl="1" w:tplc="28D61464" w:tentative="1">
      <w:start w:val="1"/>
      <w:numFmt w:val="bullet"/>
      <w:lvlText w:val="•"/>
      <w:lvlJc w:val="left"/>
      <w:pPr>
        <w:tabs>
          <w:tab w:val="num" w:pos="1440"/>
        </w:tabs>
        <w:ind w:left="1440" w:hanging="360"/>
      </w:pPr>
      <w:rPr>
        <w:rFonts w:ascii="Times New Roman" w:hAnsi="Times New Roman" w:hint="default"/>
      </w:rPr>
    </w:lvl>
    <w:lvl w:ilvl="2" w:tplc="A2947FFA" w:tentative="1">
      <w:start w:val="1"/>
      <w:numFmt w:val="bullet"/>
      <w:lvlText w:val="•"/>
      <w:lvlJc w:val="left"/>
      <w:pPr>
        <w:tabs>
          <w:tab w:val="num" w:pos="2160"/>
        </w:tabs>
        <w:ind w:left="2160" w:hanging="360"/>
      </w:pPr>
      <w:rPr>
        <w:rFonts w:ascii="Times New Roman" w:hAnsi="Times New Roman" w:hint="default"/>
      </w:rPr>
    </w:lvl>
    <w:lvl w:ilvl="3" w:tplc="0B761F82" w:tentative="1">
      <w:start w:val="1"/>
      <w:numFmt w:val="bullet"/>
      <w:lvlText w:val="•"/>
      <w:lvlJc w:val="left"/>
      <w:pPr>
        <w:tabs>
          <w:tab w:val="num" w:pos="2880"/>
        </w:tabs>
        <w:ind w:left="2880" w:hanging="360"/>
      </w:pPr>
      <w:rPr>
        <w:rFonts w:ascii="Times New Roman" w:hAnsi="Times New Roman" w:hint="default"/>
      </w:rPr>
    </w:lvl>
    <w:lvl w:ilvl="4" w:tplc="17DCB936" w:tentative="1">
      <w:start w:val="1"/>
      <w:numFmt w:val="bullet"/>
      <w:lvlText w:val="•"/>
      <w:lvlJc w:val="left"/>
      <w:pPr>
        <w:tabs>
          <w:tab w:val="num" w:pos="3600"/>
        </w:tabs>
        <w:ind w:left="3600" w:hanging="360"/>
      </w:pPr>
      <w:rPr>
        <w:rFonts w:ascii="Times New Roman" w:hAnsi="Times New Roman" w:hint="default"/>
      </w:rPr>
    </w:lvl>
    <w:lvl w:ilvl="5" w:tplc="F21CC8A2" w:tentative="1">
      <w:start w:val="1"/>
      <w:numFmt w:val="bullet"/>
      <w:lvlText w:val="•"/>
      <w:lvlJc w:val="left"/>
      <w:pPr>
        <w:tabs>
          <w:tab w:val="num" w:pos="4320"/>
        </w:tabs>
        <w:ind w:left="4320" w:hanging="360"/>
      </w:pPr>
      <w:rPr>
        <w:rFonts w:ascii="Times New Roman" w:hAnsi="Times New Roman" w:hint="default"/>
      </w:rPr>
    </w:lvl>
    <w:lvl w:ilvl="6" w:tplc="81B44B9E" w:tentative="1">
      <w:start w:val="1"/>
      <w:numFmt w:val="bullet"/>
      <w:lvlText w:val="•"/>
      <w:lvlJc w:val="left"/>
      <w:pPr>
        <w:tabs>
          <w:tab w:val="num" w:pos="5040"/>
        </w:tabs>
        <w:ind w:left="5040" w:hanging="360"/>
      </w:pPr>
      <w:rPr>
        <w:rFonts w:ascii="Times New Roman" w:hAnsi="Times New Roman" w:hint="default"/>
      </w:rPr>
    </w:lvl>
    <w:lvl w:ilvl="7" w:tplc="7CBE148C" w:tentative="1">
      <w:start w:val="1"/>
      <w:numFmt w:val="bullet"/>
      <w:lvlText w:val="•"/>
      <w:lvlJc w:val="left"/>
      <w:pPr>
        <w:tabs>
          <w:tab w:val="num" w:pos="5760"/>
        </w:tabs>
        <w:ind w:left="5760" w:hanging="360"/>
      </w:pPr>
      <w:rPr>
        <w:rFonts w:ascii="Times New Roman" w:hAnsi="Times New Roman" w:hint="default"/>
      </w:rPr>
    </w:lvl>
    <w:lvl w:ilvl="8" w:tplc="9210D33A"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10"/>
  </w:num>
  <w:num w:numId="3">
    <w:abstractNumId w:val="25"/>
  </w:num>
  <w:num w:numId="4">
    <w:abstractNumId w:val="14"/>
  </w:num>
  <w:num w:numId="5">
    <w:abstractNumId w:val="5"/>
  </w:num>
  <w:num w:numId="6">
    <w:abstractNumId w:val="8"/>
  </w:num>
  <w:num w:numId="7">
    <w:abstractNumId w:val="23"/>
  </w:num>
  <w:num w:numId="8">
    <w:abstractNumId w:val="9"/>
  </w:num>
  <w:num w:numId="9">
    <w:abstractNumId w:val="22"/>
  </w:num>
  <w:num w:numId="10">
    <w:abstractNumId w:val="0"/>
  </w:num>
  <w:num w:numId="11">
    <w:abstractNumId w:val="12"/>
  </w:num>
  <w:num w:numId="12">
    <w:abstractNumId w:val="4"/>
  </w:num>
  <w:num w:numId="13">
    <w:abstractNumId w:val="21"/>
  </w:num>
  <w:num w:numId="14">
    <w:abstractNumId w:val="20"/>
  </w:num>
  <w:num w:numId="15">
    <w:abstractNumId w:val="2"/>
  </w:num>
  <w:num w:numId="16">
    <w:abstractNumId w:val="13"/>
  </w:num>
  <w:num w:numId="17">
    <w:abstractNumId w:val="11"/>
  </w:num>
  <w:num w:numId="18">
    <w:abstractNumId w:val="6"/>
  </w:num>
  <w:num w:numId="19">
    <w:abstractNumId w:val="1"/>
  </w:num>
  <w:num w:numId="20">
    <w:abstractNumId w:val="18"/>
  </w:num>
  <w:num w:numId="21">
    <w:abstractNumId w:val="19"/>
  </w:num>
  <w:num w:numId="22">
    <w:abstractNumId w:val="17"/>
  </w:num>
  <w:num w:numId="23">
    <w:abstractNumId w:val="3"/>
  </w:num>
  <w:num w:numId="24">
    <w:abstractNumId w:val="15"/>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72"/>
    <w:rsid w:val="000007ED"/>
    <w:rsid w:val="0000255C"/>
    <w:rsid w:val="000217EF"/>
    <w:rsid w:val="0004592B"/>
    <w:rsid w:val="00046FE6"/>
    <w:rsid w:val="000760F4"/>
    <w:rsid w:val="000A520F"/>
    <w:rsid w:val="000A7585"/>
    <w:rsid w:val="000B28F6"/>
    <w:rsid w:val="000C753F"/>
    <w:rsid w:val="000D7D19"/>
    <w:rsid w:val="000E0ECF"/>
    <w:rsid w:val="00103B00"/>
    <w:rsid w:val="001065B3"/>
    <w:rsid w:val="00147524"/>
    <w:rsid w:val="00150746"/>
    <w:rsid w:val="00154C43"/>
    <w:rsid w:val="00173F48"/>
    <w:rsid w:val="00196728"/>
    <w:rsid w:val="001A555A"/>
    <w:rsid w:val="001E09FA"/>
    <w:rsid w:val="001E1025"/>
    <w:rsid w:val="0020266B"/>
    <w:rsid w:val="002114FA"/>
    <w:rsid w:val="0021246E"/>
    <w:rsid w:val="002352BB"/>
    <w:rsid w:val="002601C2"/>
    <w:rsid w:val="002747A5"/>
    <w:rsid w:val="002849B6"/>
    <w:rsid w:val="002961BB"/>
    <w:rsid w:val="002B2C2E"/>
    <w:rsid w:val="002D34AB"/>
    <w:rsid w:val="002E7CEE"/>
    <w:rsid w:val="002E7F5E"/>
    <w:rsid w:val="0033606A"/>
    <w:rsid w:val="00337F9F"/>
    <w:rsid w:val="003475BA"/>
    <w:rsid w:val="003501F9"/>
    <w:rsid w:val="00382338"/>
    <w:rsid w:val="003A2B0D"/>
    <w:rsid w:val="003D0D1B"/>
    <w:rsid w:val="003D3542"/>
    <w:rsid w:val="003D7F25"/>
    <w:rsid w:val="003E3109"/>
    <w:rsid w:val="003F0DF6"/>
    <w:rsid w:val="003F30F7"/>
    <w:rsid w:val="00420916"/>
    <w:rsid w:val="00421FE8"/>
    <w:rsid w:val="004226A9"/>
    <w:rsid w:val="004402E8"/>
    <w:rsid w:val="00451975"/>
    <w:rsid w:val="00451CCB"/>
    <w:rsid w:val="004613A9"/>
    <w:rsid w:val="004617B4"/>
    <w:rsid w:val="004B35E7"/>
    <w:rsid w:val="004B48A0"/>
    <w:rsid w:val="004F42A3"/>
    <w:rsid w:val="004F4E51"/>
    <w:rsid w:val="00510D0A"/>
    <w:rsid w:val="0054220F"/>
    <w:rsid w:val="00543579"/>
    <w:rsid w:val="005508E8"/>
    <w:rsid w:val="0058634C"/>
    <w:rsid w:val="005C1F72"/>
    <w:rsid w:val="005D4078"/>
    <w:rsid w:val="005E340E"/>
    <w:rsid w:val="005F244C"/>
    <w:rsid w:val="00626481"/>
    <w:rsid w:val="00633016"/>
    <w:rsid w:val="00650B47"/>
    <w:rsid w:val="00674C1B"/>
    <w:rsid w:val="00676084"/>
    <w:rsid w:val="006839E5"/>
    <w:rsid w:val="006A4803"/>
    <w:rsid w:val="006B14DD"/>
    <w:rsid w:val="006D2BA8"/>
    <w:rsid w:val="00721CC1"/>
    <w:rsid w:val="00722B21"/>
    <w:rsid w:val="00727802"/>
    <w:rsid w:val="00736257"/>
    <w:rsid w:val="00747CEE"/>
    <w:rsid w:val="0077702A"/>
    <w:rsid w:val="00785825"/>
    <w:rsid w:val="007A0BB0"/>
    <w:rsid w:val="007B4D6C"/>
    <w:rsid w:val="007C7B5D"/>
    <w:rsid w:val="007E76A4"/>
    <w:rsid w:val="00814738"/>
    <w:rsid w:val="00832FCE"/>
    <w:rsid w:val="0083346D"/>
    <w:rsid w:val="0086434A"/>
    <w:rsid w:val="00875F6D"/>
    <w:rsid w:val="008B3DAD"/>
    <w:rsid w:val="008D3A1C"/>
    <w:rsid w:val="008E0EC3"/>
    <w:rsid w:val="008F2F48"/>
    <w:rsid w:val="00904F91"/>
    <w:rsid w:val="00906B02"/>
    <w:rsid w:val="00911088"/>
    <w:rsid w:val="0091617B"/>
    <w:rsid w:val="009237A1"/>
    <w:rsid w:val="00932557"/>
    <w:rsid w:val="0095156B"/>
    <w:rsid w:val="009653CC"/>
    <w:rsid w:val="009763CE"/>
    <w:rsid w:val="009E7A18"/>
    <w:rsid w:val="00A1217C"/>
    <w:rsid w:val="00A2664E"/>
    <w:rsid w:val="00AB6D70"/>
    <w:rsid w:val="00AC1909"/>
    <w:rsid w:val="00B06C79"/>
    <w:rsid w:val="00B13105"/>
    <w:rsid w:val="00B169B2"/>
    <w:rsid w:val="00B45109"/>
    <w:rsid w:val="00B508D1"/>
    <w:rsid w:val="00B50A8E"/>
    <w:rsid w:val="00B51C3D"/>
    <w:rsid w:val="00BA2FA9"/>
    <w:rsid w:val="00BA603E"/>
    <w:rsid w:val="00BB3E05"/>
    <w:rsid w:val="00BC045C"/>
    <w:rsid w:val="00BF2CC5"/>
    <w:rsid w:val="00C05136"/>
    <w:rsid w:val="00C13F11"/>
    <w:rsid w:val="00C24E07"/>
    <w:rsid w:val="00C33BC8"/>
    <w:rsid w:val="00C62906"/>
    <w:rsid w:val="00C804F6"/>
    <w:rsid w:val="00C91299"/>
    <w:rsid w:val="00C94B96"/>
    <w:rsid w:val="00D02941"/>
    <w:rsid w:val="00D248F1"/>
    <w:rsid w:val="00D26FA1"/>
    <w:rsid w:val="00D44C74"/>
    <w:rsid w:val="00D5028F"/>
    <w:rsid w:val="00D741BF"/>
    <w:rsid w:val="00D806A9"/>
    <w:rsid w:val="00D82AC1"/>
    <w:rsid w:val="00DA2883"/>
    <w:rsid w:val="00DE490B"/>
    <w:rsid w:val="00E01BE2"/>
    <w:rsid w:val="00E03BC8"/>
    <w:rsid w:val="00E125A4"/>
    <w:rsid w:val="00E15D2F"/>
    <w:rsid w:val="00E474D7"/>
    <w:rsid w:val="00E50579"/>
    <w:rsid w:val="00E755AD"/>
    <w:rsid w:val="00E76D37"/>
    <w:rsid w:val="00EB3411"/>
    <w:rsid w:val="00EE4D50"/>
    <w:rsid w:val="00EF6E19"/>
    <w:rsid w:val="00F04A8D"/>
    <w:rsid w:val="00F1358E"/>
    <w:rsid w:val="00F16DF8"/>
    <w:rsid w:val="00F237EF"/>
    <w:rsid w:val="00F600B5"/>
    <w:rsid w:val="00F91B20"/>
    <w:rsid w:val="00F94219"/>
    <w:rsid w:val="00FC3349"/>
    <w:rsid w:val="00FD3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36D"/>
  <w15:chartTrackingRefBased/>
  <w15:docId w15:val="{2EFA1B62-67DC-47F4-ABC8-01EC984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C1F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7C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C1F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F72"/>
    <w:pPr>
      <w:spacing w:before="100" w:beforeAutospacing="1" w:after="100" w:afterAutospacing="1"/>
    </w:pPr>
  </w:style>
  <w:style w:type="character" w:customStyle="1" w:styleId="un-site-namefirst-line">
    <w:name w:val="un-site-name__first-line"/>
    <w:basedOn w:val="DefaultParagraphFont"/>
    <w:rsid w:val="005C1F72"/>
  </w:style>
  <w:style w:type="character" w:customStyle="1" w:styleId="un-site-namesecond-line">
    <w:name w:val="un-site-name__second-line"/>
    <w:basedOn w:val="DefaultParagraphFont"/>
    <w:rsid w:val="005C1F72"/>
  </w:style>
  <w:style w:type="character" w:customStyle="1" w:styleId="Heading3Char">
    <w:name w:val="Heading 3 Char"/>
    <w:basedOn w:val="DefaultParagraphFont"/>
    <w:link w:val="Heading3"/>
    <w:uiPriority w:val="9"/>
    <w:rsid w:val="005C1F7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5C1F72"/>
    <w:rPr>
      <w:color w:val="0000FF"/>
      <w:u w:val="single"/>
    </w:rPr>
  </w:style>
  <w:style w:type="character" w:styleId="Emphasis">
    <w:name w:val="Emphasis"/>
    <w:basedOn w:val="DefaultParagraphFont"/>
    <w:uiPriority w:val="20"/>
    <w:qFormat/>
    <w:rsid w:val="005C1F72"/>
    <w:rPr>
      <w:i/>
      <w:iCs/>
    </w:rPr>
  </w:style>
  <w:style w:type="character" w:customStyle="1" w:styleId="label">
    <w:name w:val="label"/>
    <w:basedOn w:val="DefaultParagraphFont"/>
    <w:rsid w:val="005C1F72"/>
  </w:style>
  <w:style w:type="character" w:customStyle="1" w:styleId="Heading1Char">
    <w:name w:val="Heading 1 Char"/>
    <w:basedOn w:val="DefaultParagraphFont"/>
    <w:link w:val="Heading1"/>
    <w:uiPriority w:val="9"/>
    <w:rsid w:val="005C1F72"/>
    <w:rPr>
      <w:rFonts w:asciiTheme="majorHAnsi" w:eastAsiaTheme="majorEastAsia" w:hAnsiTheme="majorHAnsi" w:cstheme="majorBidi"/>
      <w:color w:val="2F5496" w:themeColor="accent1" w:themeShade="BF"/>
      <w:sz w:val="32"/>
      <w:szCs w:val="32"/>
      <w:lang w:eastAsia="en-AU"/>
    </w:rPr>
  </w:style>
  <w:style w:type="character" w:styleId="UnresolvedMention">
    <w:name w:val="Unresolved Mention"/>
    <w:basedOn w:val="DefaultParagraphFont"/>
    <w:uiPriority w:val="99"/>
    <w:semiHidden/>
    <w:unhideWhenUsed/>
    <w:rsid w:val="005C1F72"/>
    <w:rPr>
      <w:color w:val="605E5C"/>
      <w:shd w:val="clear" w:color="auto" w:fill="E1DFDD"/>
    </w:rPr>
  </w:style>
  <w:style w:type="paragraph" w:customStyle="1" w:styleId="p">
    <w:name w:val="p"/>
    <w:basedOn w:val="Normal"/>
    <w:rsid w:val="005C1F72"/>
    <w:pPr>
      <w:spacing w:before="100" w:beforeAutospacing="1" w:after="100" w:afterAutospacing="1"/>
    </w:pPr>
  </w:style>
  <w:style w:type="paragraph" w:styleId="Header">
    <w:name w:val="header"/>
    <w:basedOn w:val="Normal"/>
    <w:link w:val="HeaderChar"/>
    <w:uiPriority w:val="99"/>
    <w:unhideWhenUsed/>
    <w:rsid w:val="007E76A4"/>
    <w:pPr>
      <w:tabs>
        <w:tab w:val="center" w:pos="4513"/>
        <w:tab w:val="right" w:pos="9026"/>
      </w:tabs>
    </w:pPr>
  </w:style>
  <w:style w:type="character" w:customStyle="1" w:styleId="HeaderChar">
    <w:name w:val="Header Char"/>
    <w:basedOn w:val="DefaultParagraphFont"/>
    <w:link w:val="Header"/>
    <w:uiPriority w:val="99"/>
    <w:rsid w:val="007E76A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E76A4"/>
    <w:pPr>
      <w:tabs>
        <w:tab w:val="center" w:pos="4513"/>
        <w:tab w:val="right" w:pos="9026"/>
      </w:tabs>
    </w:pPr>
  </w:style>
  <w:style w:type="character" w:customStyle="1" w:styleId="FooterChar">
    <w:name w:val="Footer Char"/>
    <w:basedOn w:val="DefaultParagraphFont"/>
    <w:link w:val="Footer"/>
    <w:uiPriority w:val="99"/>
    <w:rsid w:val="007E76A4"/>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21246E"/>
    <w:pPr>
      <w:ind w:left="720"/>
      <w:contextualSpacing/>
    </w:pPr>
  </w:style>
  <w:style w:type="paragraph" w:styleId="FootnoteText">
    <w:name w:val="footnote text"/>
    <w:aliases w:val="Footnote text"/>
    <w:basedOn w:val="Normal"/>
    <w:link w:val="FootnoteTextChar"/>
    <w:semiHidden/>
    <w:unhideWhenUsed/>
    <w:rsid w:val="00196728"/>
    <w:rPr>
      <w:sz w:val="20"/>
      <w:szCs w:val="20"/>
    </w:rPr>
  </w:style>
  <w:style w:type="character" w:customStyle="1" w:styleId="FootnoteTextChar">
    <w:name w:val="Footnote Text Char"/>
    <w:aliases w:val="Footnote text Char"/>
    <w:basedOn w:val="DefaultParagraphFont"/>
    <w:link w:val="FootnoteText"/>
    <w:semiHidden/>
    <w:rsid w:val="00196728"/>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196728"/>
    <w:rPr>
      <w:vertAlign w:val="superscript"/>
    </w:rPr>
  </w:style>
  <w:style w:type="character" w:styleId="Strong">
    <w:name w:val="Strong"/>
    <w:basedOn w:val="DefaultParagraphFont"/>
    <w:uiPriority w:val="22"/>
    <w:qFormat/>
    <w:rsid w:val="00D806A9"/>
    <w:rPr>
      <w:b/>
      <w:bCs/>
    </w:rPr>
  </w:style>
  <w:style w:type="character" w:customStyle="1" w:styleId="anchor-text">
    <w:name w:val="anchor-text"/>
    <w:basedOn w:val="DefaultParagraphFont"/>
    <w:rsid w:val="00AB6D70"/>
  </w:style>
  <w:style w:type="character" w:styleId="FollowedHyperlink">
    <w:name w:val="FollowedHyperlink"/>
    <w:basedOn w:val="DefaultParagraphFont"/>
    <w:uiPriority w:val="99"/>
    <w:semiHidden/>
    <w:unhideWhenUsed/>
    <w:rsid w:val="006839E5"/>
    <w:rPr>
      <w:color w:val="954F72" w:themeColor="followedHyperlink"/>
      <w:u w:val="single"/>
    </w:rPr>
  </w:style>
  <w:style w:type="character" w:styleId="CommentReference">
    <w:name w:val="annotation reference"/>
    <w:basedOn w:val="DefaultParagraphFont"/>
    <w:uiPriority w:val="99"/>
    <w:semiHidden/>
    <w:unhideWhenUsed/>
    <w:rsid w:val="00FD3927"/>
    <w:rPr>
      <w:sz w:val="16"/>
      <w:szCs w:val="16"/>
    </w:rPr>
  </w:style>
  <w:style w:type="paragraph" w:styleId="CommentText">
    <w:name w:val="annotation text"/>
    <w:basedOn w:val="Normal"/>
    <w:link w:val="CommentTextChar"/>
    <w:uiPriority w:val="99"/>
    <w:unhideWhenUsed/>
    <w:rsid w:val="00FD3927"/>
    <w:rPr>
      <w:sz w:val="20"/>
      <w:szCs w:val="20"/>
    </w:rPr>
  </w:style>
  <w:style w:type="character" w:customStyle="1" w:styleId="CommentTextChar">
    <w:name w:val="Comment Text Char"/>
    <w:basedOn w:val="DefaultParagraphFont"/>
    <w:link w:val="CommentText"/>
    <w:uiPriority w:val="99"/>
    <w:rsid w:val="00FD392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D3927"/>
    <w:rPr>
      <w:b/>
      <w:bCs/>
    </w:rPr>
  </w:style>
  <w:style w:type="character" w:customStyle="1" w:styleId="CommentSubjectChar">
    <w:name w:val="Comment Subject Char"/>
    <w:basedOn w:val="CommentTextChar"/>
    <w:link w:val="CommentSubject"/>
    <w:uiPriority w:val="99"/>
    <w:semiHidden/>
    <w:rsid w:val="00FD392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D3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27"/>
    <w:rPr>
      <w:rFonts w:ascii="Segoe UI" w:eastAsia="Times New Roman" w:hAnsi="Segoe UI" w:cs="Segoe UI"/>
      <w:sz w:val="18"/>
      <w:szCs w:val="18"/>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337F9F"/>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2E7CEE"/>
    <w:rPr>
      <w:rFonts w:asciiTheme="majorHAnsi" w:eastAsiaTheme="majorEastAsia" w:hAnsiTheme="majorHAnsi" w:cstheme="majorBidi"/>
      <w:color w:val="2F5496" w:themeColor="accent1" w:themeShade="BF"/>
      <w:sz w:val="26"/>
      <w:szCs w:val="26"/>
      <w:lang w:eastAsia="en-AU"/>
    </w:rPr>
  </w:style>
  <w:style w:type="paragraph" w:customStyle="1" w:styleId="Default">
    <w:name w:val="Default"/>
    <w:rsid w:val="00C804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7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4261">
      <w:bodyDiv w:val="1"/>
      <w:marLeft w:val="0"/>
      <w:marRight w:val="0"/>
      <w:marTop w:val="0"/>
      <w:marBottom w:val="0"/>
      <w:divBdr>
        <w:top w:val="none" w:sz="0" w:space="0" w:color="auto"/>
        <w:left w:val="none" w:sz="0" w:space="0" w:color="auto"/>
        <w:bottom w:val="none" w:sz="0" w:space="0" w:color="auto"/>
        <w:right w:val="none" w:sz="0" w:space="0" w:color="auto"/>
      </w:divBdr>
      <w:divsChild>
        <w:div w:id="1673488434">
          <w:marLeft w:val="360"/>
          <w:marRight w:val="0"/>
          <w:marTop w:val="86"/>
          <w:marBottom w:val="0"/>
          <w:divBdr>
            <w:top w:val="none" w:sz="0" w:space="0" w:color="auto"/>
            <w:left w:val="none" w:sz="0" w:space="0" w:color="auto"/>
            <w:bottom w:val="none" w:sz="0" w:space="0" w:color="auto"/>
            <w:right w:val="none" w:sz="0" w:space="0" w:color="auto"/>
          </w:divBdr>
        </w:div>
        <w:div w:id="867716131">
          <w:marLeft w:val="360"/>
          <w:marRight w:val="0"/>
          <w:marTop w:val="86"/>
          <w:marBottom w:val="0"/>
          <w:divBdr>
            <w:top w:val="none" w:sz="0" w:space="0" w:color="auto"/>
            <w:left w:val="none" w:sz="0" w:space="0" w:color="auto"/>
            <w:bottom w:val="none" w:sz="0" w:space="0" w:color="auto"/>
            <w:right w:val="none" w:sz="0" w:space="0" w:color="auto"/>
          </w:divBdr>
        </w:div>
        <w:div w:id="1288928773">
          <w:marLeft w:val="360"/>
          <w:marRight w:val="0"/>
          <w:marTop w:val="86"/>
          <w:marBottom w:val="0"/>
          <w:divBdr>
            <w:top w:val="none" w:sz="0" w:space="0" w:color="auto"/>
            <w:left w:val="none" w:sz="0" w:space="0" w:color="auto"/>
            <w:bottom w:val="none" w:sz="0" w:space="0" w:color="auto"/>
            <w:right w:val="none" w:sz="0" w:space="0" w:color="auto"/>
          </w:divBdr>
        </w:div>
        <w:div w:id="2045016156">
          <w:marLeft w:val="360"/>
          <w:marRight w:val="0"/>
          <w:marTop w:val="86"/>
          <w:marBottom w:val="0"/>
          <w:divBdr>
            <w:top w:val="none" w:sz="0" w:space="0" w:color="auto"/>
            <w:left w:val="none" w:sz="0" w:space="0" w:color="auto"/>
            <w:bottom w:val="none" w:sz="0" w:space="0" w:color="auto"/>
            <w:right w:val="none" w:sz="0" w:space="0" w:color="auto"/>
          </w:divBdr>
        </w:div>
      </w:divsChild>
    </w:div>
    <w:div w:id="99839993">
      <w:bodyDiv w:val="1"/>
      <w:marLeft w:val="0"/>
      <w:marRight w:val="0"/>
      <w:marTop w:val="0"/>
      <w:marBottom w:val="0"/>
      <w:divBdr>
        <w:top w:val="none" w:sz="0" w:space="0" w:color="auto"/>
        <w:left w:val="none" w:sz="0" w:space="0" w:color="auto"/>
        <w:bottom w:val="none" w:sz="0" w:space="0" w:color="auto"/>
        <w:right w:val="none" w:sz="0" w:space="0" w:color="auto"/>
      </w:divBdr>
      <w:divsChild>
        <w:div w:id="1356615599">
          <w:marLeft w:val="0"/>
          <w:marRight w:val="0"/>
          <w:marTop w:val="0"/>
          <w:marBottom w:val="0"/>
          <w:divBdr>
            <w:top w:val="none" w:sz="0" w:space="0" w:color="auto"/>
            <w:left w:val="none" w:sz="0" w:space="0" w:color="auto"/>
            <w:bottom w:val="none" w:sz="0" w:space="0" w:color="auto"/>
            <w:right w:val="none" w:sz="0" w:space="0" w:color="auto"/>
          </w:divBdr>
        </w:div>
        <w:div w:id="117602422">
          <w:marLeft w:val="0"/>
          <w:marRight w:val="0"/>
          <w:marTop w:val="0"/>
          <w:marBottom w:val="0"/>
          <w:divBdr>
            <w:top w:val="none" w:sz="0" w:space="0" w:color="auto"/>
            <w:left w:val="none" w:sz="0" w:space="0" w:color="auto"/>
            <w:bottom w:val="none" w:sz="0" w:space="0" w:color="auto"/>
            <w:right w:val="none" w:sz="0" w:space="0" w:color="auto"/>
          </w:divBdr>
        </w:div>
      </w:divsChild>
    </w:div>
    <w:div w:id="187573801">
      <w:bodyDiv w:val="1"/>
      <w:marLeft w:val="0"/>
      <w:marRight w:val="0"/>
      <w:marTop w:val="0"/>
      <w:marBottom w:val="0"/>
      <w:divBdr>
        <w:top w:val="none" w:sz="0" w:space="0" w:color="auto"/>
        <w:left w:val="none" w:sz="0" w:space="0" w:color="auto"/>
        <w:bottom w:val="none" w:sz="0" w:space="0" w:color="auto"/>
        <w:right w:val="none" w:sz="0" w:space="0" w:color="auto"/>
      </w:divBdr>
      <w:divsChild>
        <w:div w:id="632370606">
          <w:marLeft w:val="0"/>
          <w:marRight w:val="0"/>
          <w:marTop w:val="0"/>
          <w:marBottom w:val="0"/>
          <w:divBdr>
            <w:top w:val="none" w:sz="0" w:space="0" w:color="auto"/>
            <w:left w:val="none" w:sz="0" w:space="0" w:color="auto"/>
            <w:bottom w:val="none" w:sz="0" w:space="0" w:color="auto"/>
            <w:right w:val="none" w:sz="0" w:space="0" w:color="auto"/>
          </w:divBdr>
        </w:div>
        <w:div w:id="1560479828">
          <w:marLeft w:val="0"/>
          <w:marRight w:val="0"/>
          <w:marTop w:val="0"/>
          <w:marBottom w:val="0"/>
          <w:divBdr>
            <w:top w:val="none" w:sz="0" w:space="0" w:color="auto"/>
            <w:left w:val="none" w:sz="0" w:space="0" w:color="auto"/>
            <w:bottom w:val="none" w:sz="0" w:space="0" w:color="auto"/>
            <w:right w:val="none" w:sz="0" w:space="0" w:color="auto"/>
          </w:divBdr>
        </w:div>
      </w:divsChild>
    </w:div>
    <w:div w:id="200754896">
      <w:bodyDiv w:val="1"/>
      <w:marLeft w:val="0"/>
      <w:marRight w:val="0"/>
      <w:marTop w:val="0"/>
      <w:marBottom w:val="0"/>
      <w:divBdr>
        <w:top w:val="none" w:sz="0" w:space="0" w:color="auto"/>
        <w:left w:val="none" w:sz="0" w:space="0" w:color="auto"/>
        <w:bottom w:val="none" w:sz="0" w:space="0" w:color="auto"/>
        <w:right w:val="none" w:sz="0" w:space="0" w:color="auto"/>
      </w:divBdr>
    </w:div>
    <w:div w:id="244346561">
      <w:bodyDiv w:val="1"/>
      <w:marLeft w:val="0"/>
      <w:marRight w:val="0"/>
      <w:marTop w:val="0"/>
      <w:marBottom w:val="0"/>
      <w:divBdr>
        <w:top w:val="none" w:sz="0" w:space="0" w:color="auto"/>
        <w:left w:val="none" w:sz="0" w:space="0" w:color="auto"/>
        <w:bottom w:val="none" w:sz="0" w:space="0" w:color="auto"/>
        <w:right w:val="none" w:sz="0" w:space="0" w:color="auto"/>
      </w:divBdr>
      <w:divsChild>
        <w:div w:id="547109340">
          <w:marLeft w:val="0"/>
          <w:marRight w:val="0"/>
          <w:marTop w:val="0"/>
          <w:marBottom w:val="0"/>
          <w:divBdr>
            <w:top w:val="none" w:sz="0" w:space="0" w:color="auto"/>
            <w:left w:val="none" w:sz="0" w:space="0" w:color="auto"/>
            <w:bottom w:val="none" w:sz="0" w:space="0" w:color="auto"/>
            <w:right w:val="none" w:sz="0" w:space="0" w:color="auto"/>
          </w:divBdr>
        </w:div>
        <w:div w:id="1090851627">
          <w:marLeft w:val="0"/>
          <w:marRight w:val="0"/>
          <w:marTop w:val="0"/>
          <w:marBottom w:val="0"/>
          <w:divBdr>
            <w:top w:val="none" w:sz="0" w:space="0" w:color="auto"/>
            <w:left w:val="none" w:sz="0" w:space="0" w:color="auto"/>
            <w:bottom w:val="none" w:sz="0" w:space="0" w:color="auto"/>
            <w:right w:val="none" w:sz="0" w:space="0" w:color="auto"/>
          </w:divBdr>
        </w:div>
        <w:div w:id="1719426739">
          <w:marLeft w:val="0"/>
          <w:marRight w:val="0"/>
          <w:marTop w:val="0"/>
          <w:marBottom w:val="0"/>
          <w:divBdr>
            <w:top w:val="none" w:sz="0" w:space="0" w:color="auto"/>
            <w:left w:val="none" w:sz="0" w:space="0" w:color="auto"/>
            <w:bottom w:val="none" w:sz="0" w:space="0" w:color="auto"/>
            <w:right w:val="none" w:sz="0" w:space="0" w:color="auto"/>
          </w:divBdr>
        </w:div>
      </w:divsChild>
    </w:div>
    <w:div w:id="354813569">
      <w:bodyDiv w:val="1"/>
      <w:marLeft w:val="0"/>
      <w:marRight w:val="0"/>
      <w:marTop w:val="0"/>
      <w:marBottom w:val="0"/>
      <w:divBdr>
        <w:top w:val="none" w:sz="0" w:space="0" w:color="auto"/>
        <w:left w:val="none" w:sz="0" w:space="0" w:color="auto"/>
        <w:bottom w:val="none" w:sz="0" w:space="0" w:color="auto"/>
        <w:right w:val="none" w:sz="0" w:space="0" w:color="auto"/>
      </w:divBdr>
    </w:div>
    <w:div w:id="466358980">
      <w:bodyDiv w:val="1"/>
      <w:marLeft w:val="0"/>
      <w:marRight w:val="0"/>
      <w:marTop w:val="0"/>
      <w:marBottom w:val="0"/>
      <w:divBdr>
        <w:top w:val="none" w:sz="0" w:space="0" w:color="auto"/>
        <w:left w:val="none" w:sz="0" w:space="0" w:color="auto"/>
        <w:bottom w:val="none" w:sz="0" w:space="0" w:color="auto"/>
        <w:right w:val="none" w:sz="0" w:space="0" w:color="auto"/>
      </w:divBdr>
    </w:div>
    <w:div w:id="554437504">
      <w:bodyDiv w:val="1"/>
      <w:marLeft w:val="0"/>
      <w:marRight w:val="0"/>
      <w:marTop w:val="0"/>
      <w:marBottom w:val="0"/>
      <w:divBdr>
        <w:top w:val="none" w:sz="0" w:space="0" w:color="auto"/>
        <w:left w:val="none" w:sz="0" w:space="0" w:color="auto"/>
        <w:bottom w:val="none" w:sz="0" w:space="0" w:color="auto"/>
        <w:right w:val="none" w:sz="0" w:space="0" w:color="auto"/>
      </w:divBdr>
    </w:div>
    <w:div w:id="829177606">
      <w:bodyDiv w:val="1"/>
      <w:marLeft w:val="0"/>
      <w:marRight w:val="0"/>
      <w:marTop w:val="0"/>
      <w:marBottom w:val="0"/>
      <w:divBdr>
        <w:top w:val="none" w:sz="0" w:space="0" w:color="auto"/>
        <w:left w:val="none" w:sz="0" w:space="0" w:color="auto"/>
        <w:bottom w:val="none" w:sz="0" w:space="0" w:color="auto"/>
        <w:right w:val="none" w:sz="0" w:space="0" w:color="auto"/>
      </w:divBdr>
      <w:divsChild>
        <w:div w:id="934627444">
          <w:marLeft w:val="0"/>
          <w:marRight w:val="0"/>
          <w:marTop w:val="0"/>
          <w:marBottom w:val="0"/>
          <w:divBdr>
            <w:top w:val="none" w:sz="0" w:space="0" w:color="auto"/>
            <w:left w:val="none" w:sz="0" w:space="0" w:color="auto"/>
            <w:bottom w:val="none" w:sz="0" w:space="0" w:color="auto"/>
            <w:right w:val="none" w:sz="0" w:space="0" w:color="auto"/>
          </w:divBdr>
          <w:divsChild>
            <w:div w:id="262538689">
              <w:marLeft w:val="0"/>
              <w:marRight w:val="0"/>
              <w:marTop w:val="0"/>
              <w:marBottom w:val="0"/>
              <w:divBdr>
                <w:top w:val="none" w:sz="0" w:space="0" w:color="auto"/>
                <w:left w:val="none" w:sz="0" w:space="0" w:color="auto"/>
                <w:bottom w:val="none" w:sz="0" w:space="0" w:color="auto"/>
                <w:right w:val="none" w:sz="0" w:space="0" w:color="auto"/>
              </w:divBdr>
              <w:divsChild>
                <w:div w:id="785584443">
                  <w:marLeft w:val="0"/>
                  <w:marRight w:val="0"/>
                  <w:marTop w:val="0"/>
                  <w:marBottom w:val="0"/>
                  <w:divBdr>
                    <w:top w:val="none" w:sz="0" w:space="0" w:color="auto"/>
                    <w:left w:val="none" w:sz="0" w:space="0" w:color="auto"/>
                    <w:bottom w:val="none" w:sz="0" w:space="0" w:color="auto"/>
                    <w:right w:val="none" w:sz="0" w:space="0" w:color="auto"/>
                  </w:divBdr>
                </w:div>
                <w:div w:id="534387856">
                  <w:marLeft w:val="0"/>
                  <w:marRight w:val="0"/>
                  <w:marTop w:val="0"/>
                  <w:marBottom w:val="0"/>
                  <w:divBdr>
                    <w:top w:val="none" w:sz="0" w:space="0" w:color="auto"/>
                    <w:left w:val="none" w:sz="0" w:space="0" w:color="auto"/>
                    <w:bottom w:val="none" w:sz="0" w:space="0" w:color="auto"/>
                    <w:right w:val="none" w:sz="0" w:space="0" w:color="auto"/>
                  </w:divBdr>
                </w:div>
                <w:div w:id="418720508">
                  <w:marLeft w:val="0"/>
                  <w:marRight w:val="0"/>
                  <w:marTop w:val="0"/>
                  <w:marBottom w:val="0"/>
                  <w:divBdr>
                    <w:top w:val="none" w:sz="0" w:space="0" w:color="auto"/>
                    <w:left w:val="none" w:sz="0" w:space="0" w:color="auto"/>
                    <w:bottom w:val="none" w:sz="0" w:space="0" w:color="auto"/>
                    <w:right w:val="none" w:sz="0" w:space="0" w:color="auto"/>
                  </w:divBdr>
                  <w:divsChild>
                    <w:div w:id="13720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8595">
      <w:bodyDiv w:val="1"/>
      <w:marLeft w:val="0"/>
      <w:marRight w:val="0"/>
      <w:marTop w:val="0"/>
      <w:marBottom w:val="0"/>
      <w:divBdr>
        <w:top w:val="none" w:sz="0" w:space="0" w:color="auto"/>
        <w:left w:val="none" w:sz="0" w:space="0" w:color="auto"/>
        <w:bottom w:val="none" w:sz="0" w:space="0" w:color="auto"/>
        <w:right w:val="none" w:sz="0" w:space="0" w:color="auto"/>
      </w:divBdr>
    </w:div>
    <w:div w:id="1095131362">
      <w:bodyDiv w:val="1"/>
      <w:marLeft w:val="0"/>
      <w:marRight w:val="0"/>
      <w:marTop w:val="0"/>
      <w:marBottom w:val="0"/>
      <w:divBdr>
        <w:top w:val="none" w:sz="0" w:space="0" w:color="auto"/>
        <w:left w:val="none" w:sz="0" w:space="0" w:color="auto"/>
        <w:bottom w:val="none" w:sz="0" w:space="0" w:color="auto"/>
        <w:right w:val="none" w:sz="0" w:space="0" w:color="auto"/>
      </w:divBdr>
      <w:divsChild>
        <w:div w:id="1503423544">
          <w:marLeft w:val="547"/>
          <w:marRight w:val="0"/>
          <w:marTop w:val="115"/>
          <w:marBottom w:val="0"/>
          <w:divBdr>
            <w:top w:val="none" w:sz="0" w:space="0" w:color="auto"/>
            <w:left w:val="none" w:sz="0" w:space="0" w:color="auto"/>
            <w:bottom w:val="none" w:sz="0" w:space="0" w:color="auto"/>
            <w:right w:val="none" w:sz="0" w:space="0" w:color="auto"/>
          </w:divBdr>
        </w:div>
        <w:div w:id="1557085901">
          <w:marLeft w:val="547"/>
          <w:marRight w:val="0"/>
          <w:marTop w:val="115"/>
          <w:marBottom w:val="0"/>
          <w:divBdr>
            <w:top w:val="none" w:sz="0" w:space="0" w:color="auto"/>
            <w:left w:val="none" w:sz="0" w:space="0" w:color="auto"/>
            <w:bottom w:val="none" w:sz="0" w:space="0" w:color="auto"/>
            <w:right w:val="none" w:sz="0" w:space="0" w:color="auto"/>
          </w:divBdr>
        </w:div>
        <w:div w:id="399642306">
          <w:marLeft w:val="1051"/>
          <w:marRight w:val="0"/>
          <w:marTop w:val="96"/>
          <w:marBottom w:val="0"/>
          <w:divBdr>
            <w:top w:val="none" w:sz="0" w:space="0" w:color="auto"/>
            <w:left w:val="none" w:sz="0" w:space="0" w:color="auto"/>
            <w:bottom w:val="none" w:sz="0" w:space="0" w:color="auto"/>
            <w:right w:val="none" w:sz="0" w:space="0" w:color="auto"/>
          </w:divBdr>
        </w:div>
        <w:div w:id="331026937">
          <w:marLeft w:val="547"/>
          <w:marRight w:val="0"/>
          <w:marTop w:val="115"/>
          <w:marBottom w:val="0"/>
          <w:divBdr>
            <w:top w:val="none" w:sz="0" w:space="0" w:color="auto"/>
            <w:left w:val="none" w:sz="0" w:space="0" w:color="auto"/>
            <w:bottom w:val="none" w:sz="0" w:space="0" w:color="auto"/>
            <w:right w:val="none" w:sz="0" w:space="0" w:color="auto"/>
          </w:divBdr>
        </w:div>
        <w:div w:id="591473178">
          <w:marLeft w:val="1051"/>
          <w:marRight w:val="0"/>
          <w:marTop w:val="96"/>
          <w:marBottom w:val="0"/>
          <w:divBdr>
            <w:top w:val="none" w:sz="0" w:space="0" w:color="auto"/>
            <w:left w:val="none" w:sz="0" w:space="0" w:color="auto"/>
            <w:bottom w:val="none" w:sz="0" w:space="0" w:color="auto"/>
            <w:right w:val="none" w:sz="0" w:space="0" w:color="auto"/>
          </w:divBdr>
        </w:div>
      </w:divsChild>
    </w:div>
    <w:div w:id="1163471546">
      <w:bodyDiv w:val="1"/>
      <w:marLeft w:val="0"/>
      <w:marRight w:val="0"/>
      <w:marTop w:val="0"/>
      <w:marBottom w:val="0"/>
      <w:divBdr>
        <w:top w:val="none" w:sz="0" w:space="0" w:color="auto"/>
        <w:left w:val="none" w:sz="0" w:space="0" w:color="auto"/>
        <w:bottom w:val="none" w:sz="0" w:space="0" w:color="auto"/>
        <w:right w:val="none" w:sz="0" w:space="0" w:color="auto"/>
      </w:divBdr>
    </w:div>
    <w:div w:id="1381711226">
      <w:bodyDiv w:val="1"/>
      <w:marLeft w:val="0"/>
      <w:marRight w:val="0"/>
      <w:marTop w:val="0"/>
      <w:marBottom w:val="0"/>
      <w:divBdr>
        <w:top w:val="none" w:sz="0" w:space="0" w:color="auto"/>
        <w:left w:val="none" w:sz="0" w:space="0" w:color="auto"/>
        <w:bottom w:val="none" w:sz="0" w:space="0" w:color="auto"/>
        <w:right w:val="none" w:sz="0" w:space="0" w:color="auto"/>
      </w:divBdr>
      <w:divsChild>
        <w:div w:id="155272604">
          <w:marLeft w:val="0"/>
          <w:marRight w:val="0"/>
          <w:marTop w:val="0"/>
          <w:marBottom w:val="0"/>
          <w:divBdr>
            <w:top w:val="none" w:sz="0" w:space="0" w:color="auto"/>
            <w:left w:val="none" w:sz="0" w:space="0" w:color="auto"/>
            <w:bottom w:val="none" w:sz="0" w:space="0" w:color="auto"/>
            <w:right w:val="none" w:sz="0" w:space="0" w:color="auto"/>
          </w:divBdr>
        </w:div>
        <w:div w:id="479536288">
          <w:marLeft w:val="0"/>
          <w:marRight w:val="0"/>
          <w:marTop w:val="0"/>
          <w:marBottom w:val="0"/>
          <w:divBdr>
            <w:top w:val="none" w:sz="0" w:space="0" w:color="auto"/>
            <w:left w:val="none" w:sz="0" w:space="0" w:color="auto"/>
            <w:bottom w:val="none" w:sz="0" w:space="0" w:color="auto"/>
            <w:right w:val="none" w:sz="0" w:space="0" w:color="auto"/>
          </w:divBdr>
        </w:div>
        <w:div w:id="785350060">
          <w:marLeft w:val="0"/>
          <w:marRight w:val="0"/>
          <w:marTop w:val="0"/>
          <w:marBottom w:val="0"/>
          <w:divBdr>
            <w:top w:val="none" w:sz="0" w:space="0" w:color="auto"/>
            <w:left w:val="none" w:sz="0" w:space="0" w:color="auto"/>
            <w:bottom w:val="none" w:sz="0" w:space="0" w:color="auto"/>
            <w:right w:val="none" w:sz="0" w:space="0" w:color="auto"/>
          </w:divBdr>
        </w:div>
      </w:divsChild>
    </w:div>
    <w:div w:id="1411610718">
      <w:bodyDiv w:val="1"/>
      <w:marLeft w:val="0"/>
      <w:marRight w:val="0"/>
      <w:marTop w:val="0"/>
      <w:marBottom w:val="0"/>
      <w:divBdr>
        <w:top w:val="none" w:sz="0" w:space="0" w:color="auto"/>
        <w:left w:val="none" w:sz="0" w:space="0" w:color="auto"/>
        <w:bottom w:val="none" w:sz="0" w:space="0" w:color="auto"/>
        <w:right w:val="none" w:sz="0" w:space="0" w:color="auto"/>
      </w:divBdr>
      <w:divsChild>
        <w:div w:id="737745854">
          <w:marLeft w:val="0"/>
          <w:marRight w:val="0"/>
          <w:marTop w:val="0"/>
          <w:marBottom w:val="0"/>
          <w:divBdr>
            <w:top w:val="none" w:sz="0" w:space="0" w:color="auto"/>
            <w:left w:val="none" w:sz="0" w:space="0" w:color="auto"/>
            <w:bottom w:val="none" w:sz="0" w:space="0" w:color="auto"/>
            <w:right w:val="none" w:sz="0" w:space="0" w:color="auto"/>
          </w:divBdr>
          <w:divsChild>
            <w:div w:id="1868788365">
              <w:marLeft w:val="0"/>
              <w:marRight w:val="0"/>
              <w:marTop w:val="240"/>
              <w:marBottom w:val="240"/>
              <w:divBdr>
                <w:top w:val="single" w:sz="12" w:space="0" w:color="EBEBEB"/>
                <w:left w:val="none" w:sz="0" w:space="0" w:color="auto"/>
                <w:bottom w:val="single" w:sz="12" w:space="0" w:color="EBEBEB"/>
                <w:right w:val="none" w:sz="0" w:space="0" w:color="auto"/>
              </w:divBdr>
              <w:divsChild>
                <w:div w:id="1609003404">
                  <w:marLeft w:val="360"/>
                  <w:marRight w:val="360"/>
                  <w:marTop w:val="240"/>
                  <w:marBottom w:val="240"/>
                  <w:divBdr>
                    <w:top w:val="none" w:sz="0" w:space="0" w:color="auto"/>
                    <w:left w:val="none" w:sz="0" w:space="0" w:color="auto"/>
                    <w:bottom w:val="none" w:sz="0" w:space="0" w:color="auto"/>
                    <w:right w:val="none" w:sz="0" w:space="0" w:color="auto"/>
                  </w:divBdr>
                </w:div>
                <w:div w:id="11280878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7911845">
      <w:bodyDiv w:val="1"/>
      <w:marLeft w:val="0"/>
      <w:marRight w:val="0"/>
      <w:marTop w:val="0"/>
      <w:marBottom w:val="0"/>
      <w:divBdr>
        <w:top w:val="none" w:sz="0" w:space="0" w:color="auto"/>
        <w:left w:val="none" w:sz="0" w:space="0" w:color="auto"/>
        <w:bottom w:val="none" w:sz="0" w:space="0" w:color="auto"/>
        <w:right w:val="none" w:sz="0" w:space="0" w:color="auto"/>
      </w:divBdr>
      <w:divsChild>
        <w:div w:id="1022316719">
          <w:marLeft w:val="0"/>
          <w:marRight w:val="0"/>
          <w:marTop w:val="0"/>
          <w:marBottom w:val="0"/>
          <w:divBdr>
            <w:top w:val="none" w:sz="0" w:space="0" w:color="auto"/>
            <w:left w:val="none" w:sz="0" w:space="0" w:color="auto"/>
            <w:bottom w:val="none" w:sz="0" w:space="0" w:color="auto"/>
            <w:right w:val="none" w:sz="0" w:space="0" w:color="auto"/>
          </w:divBdr>
        </w:div>
        <w:div w:id="1956012974">
          <w:marLeft w:val="0"/>
          <w:marRight w:val="0"/>
          <w:marTop w:val="0"/>
          <w:marBottom w:val="0"/>
          <w:divBdr>
            <w:top w:val="none" w:sz="0" w:space="0" w:color="auto"/>
            <w:left w:val="none" w:sz="0" w:space="0" w:color="auto"/>
            <w:bottom w:val="none" w:sz="0" w:space="0" w:color="auto"/>
            <w:right w:val="none" w:sz="0" w:space="0" w:color="auto"/>
          </w:divBdr>
        </w:div>
        <w:div w:id="576986797">
          <w:marLeft w:val="0"/>
          <w:marRight w:val="0"/>
          <w:marTop w:val="0"/>
          <w:marBottom w:val="0"/>
          <w:divBdr>
            <w:top w:val="none" w:sz="0" w:space="0" w:color="auto"/>
            <w:left w:val="none" w:sz="0" w:space="0" w:color="auto"/>
            <w:bottom w:val="none" w:sz="0" w:space="0" w:color="auto"/>
            <w:right w:val="none" w:sz="0" w:space="0" w:color="auto"/>
          </w:divBdr>
        </w:div>
      </w:divsChild>
    </w:div>
    <w:div w:id="1558931978">
      <w:bodyDiv w:val="1"/>
      <w:marLeft w:val="0"/>
      <w:marRight w:val="0"/>
      <w:marTop w:val="0"/>
      <w:marBottom w:val="0"/>
      <w:divBdr>
        <w:top w:val="none" w:sz="0" w:space="0" w:color="auto"/>
        <w:left w:val="none" w:sz="0" w:space="0" w:color="auto"/>
        <w:bottom w:val="none" w:sz="0" w:space="0" w:color="auto"/>
        <w:right w:val="none" w:sz="0" w:space="0" w:color="auto"/>
      </w:divBdr>
      <w:divsChild>
        <w:div w:id="747772236">
          <w:marLeft w:val="0"/>
          <w:marRight w:val="0"/>
          <w:marTop w:val="0"/>
          <w:marBottom w:val="0"/>
          <w:divBdr>
            <w:top w:val="none" w:sz="0" w:space="0" w:color="auto"/>
            <w:left w:val="none" w:sz="0" w:space="0" w:color="auto"/>
            <w:bottom w:val="none" w:sz="0" w:space="0" w:color="auto"/>
            <w:right w:val="none" w:sz="0" w:space="0" w:color="auto"/>
          </w:divBdr>
        </w:div>
        <w:div w:id="274288096">
          <w:marLeft w:val="0"/>
          <w:marRight w:val="0"/>
          <w:marTop w:val="0"/>
          <w:marBottom w:val="0"/>
          <w:divBdr>
            <w:top w:val="none" w:sz="0" w:space="0" w:color="auto"/>
            <w:left w:val="none" w:sz="0" w:space="0" w:color="auto"/>
            <w:bottom w:val="none" w:sz="0" w:space="0" w:color="auto"/>
            <w:right w:val="none" w:sz="0" w:space="0" w:color="auto"/>
          </w:divBdr>
        </w:div>
        <w:div w:id="994604696">
          <w:marLeft w:val="0"/>
          <w:marRight w:val="0"/>
          <w:marTop w:val="0"/>
          <w:marBottom w:val="0"/>
          <w:divBdr>
            <w:top w:val="none" w:sz="0" w:space="0" w:color="auto"/>
            <w:left w:val="none" w:sz="0" w:space="0" w:color="auto"/>
            <w:bottom w:val="none" w:sz="0" w:space="0" w:color="auto"/>
            <w:right w:val="none" w:sz="0" w:space="0" w:color="auto"/>
          </w:divBdr>
        </w:div>
      </w:divsChild>
    </w:div>
    <w:div w:id="1617983524">
      <w:bodyDiv w:val="1"/>
      <w:marLeft w:val="0"/>
      <w:marRight w:val="0"/>
      <w:marTop w:val="0"/>
      <w:marBottom w:val="0"/>
      <w:divBdr>
        <w:top w:val="none" w:sz="0" w:space="0" w:color="auto"/>
        <w:left w:val="none" w:sz="0" w:space="0" w:color="auto"/>
        <w:bottom w:val="none" w:sz="0" w:space="0" w:color="auto"/>
        <w:right w:val="none" w:sz="0" w:space="0" w:color="auto"/>
      </w:divBdr>
      <w:divsChild>
        <w:div w:id="165638483">
          <w:marLeft w:val="360"/>
          <w:marRight w:val="0"/>
          <w:marTop w:val="86"/>
          <w:marBottom w:val="0"/>
          <w:divBdr>
            <w:top w:val="none" w:sz="0" w:space="0" w:color="auto"/>
            <w:left w:val="none" w:sz="0" w:space="0" w:color="auto"/>
            <w:bottom w:val="none" w:sz="0" w:space="0" w:color="auto"/>
            <w:right w:val="none" w:sz="0" w:space="0" w:color="auto"/>
          </w:divBdr>
        </w:div>
        <w:div w:id="791904067">
          <w:marLeft w:val="360"/>
          <w:marRight w:val="0"/>
          <w:marTop w:val="86"/>
          <w:marBottom w:val="0"/>
          <w:divBdr>
            <w:top w:val="none" w:sz="0" w:space="0" w:color="auto"/>
            <w:left w:val="none" w:sz="0" w:space="0" w:color="auto"/>
            <w:bottom w:val="none" w:sz="0" w:space="0" w:color="auto"/>
            <w:right w:val="none" w:sz="0" w:space="0" w:color="auto"/>
          </w:divBdr>
        </w:div>
        <w:div w:id="444422195">
          <w:marLeft w:val="360"/>
          <w:marRight w:val="0"/>
          <w:marTop w:val="86"/>
          <w:marBottom w:val="0"/>
          <w:divBdr>
            <w:top w:val="none" w:sz="0" w:space="0" w:color="auto"/>
            <w:left w:val="none" w:sz="0" w:space="0" w:color="auto"/>
            <w:bottom w:val="none" w:sz="0" w:space="0" w:color="auto"/>
            <w:right w:val="none" w:sz="0" w:space="0" w:color="auto"/>
          </w:divBdr>
        </w:div>
        <w:div w:id="614100035">
          <w:marLeft w:val="360"/>
          <w:marRight w:val="0"/>
          <w:marTop w:val="86"/>
          <w:marBottom w:val="0"/>
          <w:divBdr>
            <w:top w:val="none" w:sz="0" w:space="0" w:color="auto"/>
            <w:left w:val="none" w:sz="0" w:space="0" w:color="auto"/>
            <w:bottom w:val="none" w:sz="0" w:space="0" w:color="auto"/>
            <w:right w:val="none" w:sz="0" w:space="0" w:color="auto"/>
          </w:divBdr>
        </w:div>
      </w:divsChild>
    </w:div>
    <w:div w:id="1756128502">
      <w:bodyDiv w:val="1"/>
      <w:marLeft w:val="0"/>
      <w:marRight w:val="0"/>
      <w:marTop w:val="0"/>
      <w:marBottom w:val="0"/>
      <w:divBdr>
        <w:top w:val="none" w:sz="0" w:space="0" w:color="auto"/>
        <w:left w:val="none" w:sz="0" w:space="0" w:color="auto"/>
        <w:bottom w:val="none" w:sz="0" w:space="0" w:color="auto"/>
        <w:right w:val="none" w:sz="0" w:space="0" w:color="auto"/>
      </w:divBdr>
    </w:div>
    <w:div w:id="1814060122">
      <w:bodyDiv w:val="1"/>
      <w:marLeft w:val="0"/>
      <w:marRight w:val="0"/>
      <w:marTop w:val="0"/>
      <w:marBottom w:val="0"/>
      <w:divBdr>
        <w:top w:val="none" w:sz="0" w:space="0" w:color="auto"/>
        <w:left w:val="none" w:sz="0" w:space="0" w:color="auto"/>
        <w:bottom w:val="none" w:sz="0" w:space="0" w:color="auto"/>
        <w:right w:val="none" w:sz="0" w:space="0" w:color="auto"/>
      </w:divBdr>
    </w:div>
    <w:div w:id="1917396310">
      <w:bodyDiv w:val="1"/>
      <w:marLeft w:val="0"/>
      <w:marRight w:val="0"/>
      <w:marTop w:val="0"/>
      <w:marBottom w:val="0"/>
      <w:divBdr>
        <w:top w:val="none" w:sz="0" w:space="0" w:color="auto"/>
        <w:left w:val="none" w:sz="0" w:space="0" w:color="auto"/>
        <w:bottom w:val="none" w:sz="0" w:space="0" w:color="auto"/>
        <w:right w:val="none" w:sz="0" w:space="0" w:color="auto"/>
      </w:divBdr>
      <w:divsChild>
        <w:div w:id="641160874">
          <w:marLeft w:val="547"/>
          <w:marRight w:val="0"/>
          <w:marTop w:val="120"/>
          <w:marBottom w:val="0"/>
          <w:divBdr>
            <w:top w:val="none" w:sz="0" w:space="0" w:color="auto"/>
            <w:left w:val="none" w:sz="0" w:space="0" w:color="auto"/>
            <w:bottom w:val="none" w:sz="0" w:space="0" w:color="auto"/>
            <w:right w:val="none" w:sz="0" w:space="0" w:color="auto"/>
          </w:divBdr>
        </w:div>
        <w:div w:id="2053067791">
          <w:marLeft w:val="1051"/>
          <w:marRight w:val="0"/>
          <w:marTop w:val="115"/>
          <w:marBottom w:val="0"/>
          <w:divBdr>
            <w:top w:val="none" w:sz="0" w:space="0" w:color="auto"/>
            <w:left w:val="none" w:sz="0" w:space="0" w:color="auto"/>
            <w:bottom w:val="none" w:sz="0" w:space="0" w:color="auto"/>
            <w:right w:val="none" w:sz="0" w:space="0" w:color="auto"/>
          </w:divBdr>
        </w:div>
      </w:divsChild>
    </w:div>
    <w:div w:id="1953971300">
      <w:bodyDiv w:val="1"/>
      <w:marLeft w:val="0"/>
      <w:marRight w:val="0"/>
      <w:marTop w:val="0"/>
      <w:marBottom w:val="0"/>
      <w:divBdr>
        <w:top w:val="none" w:sz="0" w:space="0" w:color="auto"/>
        <w:left w:val="none" w:sz="0" w:space="0" w:color="auto"/>
        <w:bottom w:val="none" w:sz="0" w:space="0" w:color="auto"/>
        <w:right w:val="none" w:sz="0" w:space="0" w:color="auto"/>
      </w:divBdr>
      <w:divsChild>
        <w:div w:id="513035145">
          <w:marLeft w:val="360"/>
          <w:marRight w:val="0"/>
          <w:marTop w:val="86"/>
          <w:marBottom w:val="0"/>
          <w:divBdr>
            <w:top w:val="none" w:sz="0" w:space="0" w:color="auto"/>
            <w:left w:val="none" w:sz="0" w:space="0" w:color="auto"/>
            <w:bottom w:val="none" w:sz="0" w:space="0" w:color="auto"/>
            <w:right w:val="none" w:sz="0" w:space="0" w:color="auto"/>
          </w:divBdr>
        </w:div>
        <w:div w:id="1662927718">
          <w:marLeft w:val="360"/>
          <w:marRight w:val="0"/>
          <w:marTop w:val="86"/>
          <w:marBottom w:val="0"/>
          <w:divBdr>
            <w:top w:val="none" w:sz="0" w:space="0" w:color="auto"/>
            <w:left w:val="none" w:sz="0" w:space="0" w:color="auto"/>
            <w:bottom w:val="none" w:sz="0" w:space="0" w:color="auto"/>
            <w:right w:val="none" w:sz="0" w:space="0" w:color="auto"/>
          </w:divBdr>
        </w:div>
        <w:div w:id="1582132745">
          <w:marLeft w:val="360"/>
          <w:marRight w:val="0"/>
          <w:marTop w:val="86"/>
          <w:marBottom w:val="0"/>
          <w:divBdr>
            <w:top w:val="none" w:sz="0" w:space="0" w:color="auto"/>
            <w:left w:val="none" w:sz="0" w:space="0" w:color="auto"/>
            <w:bottom w:val="none" w:sz="0" w:space="0" w:color="auto"/>
            <w:right w:val="none" w:sz="0" w:space="0" w:color="auto"/>
          </w:divBdr>
        </w:div>
        <w:div w:id="364523746">
          <w:marLeft w:val="360"/>
          <w:marRight w:val="0"/>
          <w:marTop w:val="86"/>
          <w:marBottom w:val="0"/>
          <w:divBdr>
            <w:top w:val="none" w:sz="0" w:space="0" w:color="auto"/>
            <w:left w:val="none" w:sz="0" w:space="0" w:color="auto"/>
            <w:bottom w:val="none" w:sz="0" w:space="0" w:color="auto"/>
            <w:right w:val="none" w:sz="0" w:space="0" w:color="auto"/>
          </w:divBdr>
        </w:div>
        <w:div w:id="1482841531">
          <w:marLeft w:val="360"/>
          <w:marRight w:val="0"/>
          <w:marTop w:val="86"/>
          <w:marBottom w:val="0"/>
          <w:divBdr>
            <w:top w:val="none" w:sz="0" w:space="0" w:color="auto"/>
            <w:left w:val="none" w:sz="0" w:space="0" w:color="auto"/>
            <w:bottom w:val="none" w:sz="0" w:space="0" w:color="auto"/>
            <w:right w:val="none" w:sz="0" w:space="0" w:color="auto"/>
          </w:divBdr>
        </w:div>
        <w:div w:id="1561482271">
          <w:marLeft w:val="360"/>
          <w:marRight w:val="0"/>
          <w:marTop w:val="86"/>
          <w:marBottom w:val="0"/>
          <w:divBdr>
            <w:top w:val="none" w:sz="0" w:space="0" w:color="auto"/>
            <w:left w:val="none" w:sz="0" w:space="0" w:color="auto"/>
            <w:bottom w:val="none" w:sz="0" w:space="0" w:color="auto"/>
            <w:right w:val="none" w:sz="0" w:space="0" w:color="auto"/>
          </w:divBdr>
        </w:div>
        <w:div w:id="1934120187">
          <w:marLeft w:val="360"/>
          <w:marRight w:val="0"/>
          <w:marTop w:val="86"/>
          <w:marBottom w:val="0"/>
          <w:divBdr>
            <w:top w:val="none" w:sz="0" w:space="0" w:color="auto"/>
            <w:left w:val="none" w:sz="0" w:space="0" w:color="auto"/>
            <w:bottom w:val="none" w:sz="0" w:space="0" w:color="auto"/>
            <w:right w:val="none" w:sz="0" w:space="0" w:color="auto"/>
          </w:divBdr>
        </w:div>
        <w:div w:id="1906645070">
          <w:marLeft w:val="360"/>
          <w:marRight w:val="0"/>
          <w:marTop w:val="86"/>
          <w:marBottom w:val="0"/>
          <w:divBdr>
            <w:top w:val="none" w:sz="0" w:space="0" w:color="auto"/>
            <w:left w:val="none" w:sz="0" w:space="0" w:color="auto"/>
            <w:bottom w:val="none" w:sz="0" w:space="0" w:color="auto"/>
            <w:right w:val="none" w:sz="0" w:space="0" w:color="auto"/>
          </w:divBdr>
        </w:div>
      </w:divsChild>
    </w:div>
    <w:div w:id="2112125054">
      <w:bodyDiv w:val="1"/>
      <w:marLeft w:val="0"/>
      <w:marRight w:val="0"/>
      <w:marTop w:val="0"/>
      <w:marBottom w:val="0"/>
      <w:divBdr>
        <w:top w:val="none" w:sz="0" w:space="0" w:color="auto"/>
        <w:left w:val="none" w:sz="0" w:space="0" w:color="auto"/>
        <w:bottom w:val="none" w:sz="0" w:space="0" w:color="auto"/>
        <w:right w:val="none" w:sz="0" w:space="0" w:color="auto"/>
      </w:divBdr>
      <w:divsChild>
        <w:div w:id="1550606595">
          <w:marLeft w:val="360"/>
          <w:marRight w:val="0"/>
          <w:marTop w:val="72"/>
          <w:marBottom w:val="0"/>
          <w:divBdr>
            <w:top w:val="none" w:sz="0" w:space="0" w:color="auto"/>
            <w:left w:val="none" w:sz="0" w:space="0" w:color="auto"/>
            <w:bottom w:val="none" w:sz="0" w:space="0" w:color="auto"/>
            <w:right w:val="none" w:sz="0" w:space="0" w:color="auto"/>
          </w:divBdr>
        </w:div>
        <w:div w:id="970207039">
          <w:marLeft w:val="360"/>
          <w:marRight w:val="0"/>
          <w:marTop w:val="72"/>
          <w:marBottom w:val="0"/>
          <w:divBdr>
            <w:top w:val="none" w:sz="0" w:space="0" w:color="auto"/>
            <w:left w:val="none" w:sz="0" w:space="0" w:color="auto"/>
            <w:bottom w:val="none" w:sz="0" w:space="0" w:color="auto"/>
            <w:right w:val="none" w:sz="0" w:space="0" w:color="auto"/>
          </w:divBdr>
        </w:div>
        <w:div w:id="1265646629">
          <w:marLeft w:val="360"/>
          <w:marRight w:val="0"/>
          <w:marTop w:val="72"/>
          <w:marBottom w:val="0"/>
          <w:divBdr>
            <w:top w:val="none" w:sz="0" w:space="0" w:color="auto"/>
            <w:left w:val="none" w:sz="0" w:space="0" w:color="auto"/>
            <w:bottom w:val="none" w:sz="0" w:space="0" w:color="auto"/>
            <w:right w:val="none" w:sz="0" w:space="0" w:color="auto"/>
          </w:divBdr>
        </w:div>
        <w:div w:id="1433358631">
          <w:marLeft w:val="1080"/>
          <w:marRight w:val="0"/>
          <w:marTop w:val="72"/>
          <w:marBottom w:val="0"/>
          <w:divBdr>
            <w:top w:val="none" w:sz="0" w:space="0" w:color="auto"/>
            <w:left w:val="none" w:sz="0" w:space="0" w:color="auto"/>
            <w:bottom w:val="none" w:sz="0" w:space="0" w:color="auto"/>
            <w:right w:val="none" w:sz="0" w:space="0" w:color="auto"/>
          </w:divBdr>
        </w:div>
        <w:div w:id="1844318005">
          <w:marLeft w:val="108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sa.gov.au/LZ/C/R/COVID-19%20Emergency%20Response%20(Commercial%20Leases)%20Regulations%202020.aspx" TargetMode="External"/><Relationship Id="rId13" Type="http://schemas.openxmlformats.org/officeDocument/2006/relationships/hyperlink" Target="https://www.legislation.sa.gov.au/LZ/C/R/COVID-19%20Emergency%20Response%20(Section%2017)%20Regulations%202020.aspx" TargetMode="External"/><Relationship Id="rId18" Type="http://schemas.openxmlformats.org/officeDocument/2006/relationships/hyperlink" Target="https://people.unisa.edu.au/Sarah.Moul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sa.gov.au/LZ/C/R/COVID-19%20Emergency%20Response%20(Section%2016)%20Regulations%202020.aspx" TargetMode="External"/><Relationship Id="rId17" Type="http://schemas.openxmlformats.org/officeDocument/2006/relationships/hyperlink" Target="https://www.parliament.sa.gov.au/Committees/Committees-Detail" TargetMode="External"/><Relationship Id="rId2" Type="http://schemas.openxmlformats.org/officeDocument/2006/relationships/numbering" Target="numbering.xml"/><Relationship Id="rId16" Type="http://schemas.openxmlformats.org/officeDocument/2006/relationships/hyperlink" Target="https://www.police.sa.gov.au/covid-19-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sa.gov.au/LZ/C/R/COVID-19%20Emergency%20Response%20(Schedule%201)%20Regulations%202020.aspx" TargetMode="External"/><Relationship Id="rId5" Type="http://schemas.openxmlformats.org/officeDocument/2006/relationships/webSettings" Target="webSettings.xml"/><Relationship Id="rId15" Type="http://schemas.openxmlformats.org/officeDocument/2006/relationships/hyperlink" Target="https://www.legislation.sa.gov.au/Web/Information/CV19/CV19.aspx" TargetMode="External"/><Relationship Id="rId10" Type="http://schemas.openxmlformats.org/officeDocument/2006/relationships/hyperlink" Target="https://www.legislation.sa.gov.au/LZ/C/R/COVID-19%20Emergency%20Response%20(Commercial%20Leases)%20Regulations%202020.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ernmentgazette.sa.gov.au/2020/April/2020_034.pdf" TargetMode="External"/><Relationship Id="rId14" Type="http://schemas.openxmlformats.org/officeDocument/2006/relationships/hyperlink" Target="https://www.legislation.sa.gov.au/LZ/C/A/COVID-19%20EMERGENCY%20RESPONSE%20ACT%202020.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753A-689F-4A23-AEDE-1FE47608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Moulds</dc:creator>
  <cp:keywords/>
  <dc:description/>
  <cp:lastModifiedBy>Sarah Moulds</cp:lastModifiedBy>
  <cp:revision>3</cp:revision>
  <dcterms:created xsi:type="dcterms:W3CDTF">2020-04-24T00:39:00Z</dcterms:created>
  <dcterms:modified xsi:type="dcterms:W3CDTF">2020-04-24T00:48:00Z</dcterms:modified>
</cp:coreProperties>
</file>